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3CC8" w:rsidRDefault="00343CC8">
      <w:pPr>
        <w:pStyle w:val="Proekt"/>
      </w:pPr>
    </w:p>
    <w:p w:rsidR="00343CC8" w:rsidRDefault="00343CC8">
      <w:pPr>
        <w:pStyle w:val="Proekt"/>
      </w:pPr>
    </w:p>
    <w:p w:rsidR="00343CC8" w:rsidRDefault="00343CC8">
      <w:pPr>
        <w:pStyle w:val="Proekt"/>
        <w:rPr>
          <w:lang w:val="en-US"/>
        </w:rPr>
      </w:pPr>
      <w:r>
        <w:t>Проект</w:t>
      </w:r>
    </w:p>
    <w:p w:rsidR="00343CC8" w:rsidRDefault="00343CC8">
      <w:pPr>
        <w:pStyle w:val="newncpi"/>
        <w:spacing w:line="280" w:lineRule="exact"/>
        <w:rPr>
          <w:lang w:val="en-US"/>
        </w:rPr>
      </w:pPr>
    </w:p>
    <w:p w:rsidR="00343CC8" w:rsidRDefault="00343CC8">
      <w:pPr>
        <w:pStyle w:val="newncpi"/>
        <w:spacing w:line="280" w:lineRule="exact"/>
      </w:pPr>
    </w:p>
    <w:p w:rsidR="00343CC8" w:rsidRDefault="00343CC8">
      <w:pPr>
        <w:pStyle w:val="newncpi"/>
        <w:spacing w:line="280" w:lineRule="exact"/>
        <w:rPr>
          <w:lang w:val="en-US"/>
        </w:rPr>
      </w:pPr>
    </w:p>
    <w:p w:rsidR="00343CC8" w:rsidRPr="0034593F" w:rsidRDefault="00343CC8">
      <w:pPr>
        <w:pStyle w:val="5"/>
        <w:rPr>
          <w:rStyle w:val="Promulgator"/>
          <w:b w:val="0"/>
          <w:szCs w:val="30"/>
        </w:rPr>
      </w:pPr>
      <w:r w:rsidRPr="0034593F">
        <w:rPr>
          <w:rStyle w:val="Promulgator"/>
          <w:b w:val="0"/>
          <w:szCs w:val="30"/>
        </w:rPr>
        <w:t>Совет Министров</w:t>
      </w:r>
    </w:p>
    <w:p w:rsidR="00343CC8" w:rsidRDefault="00343CC8">
      <w:pPr>
        <w:pStyle w:val="7"/>
        <w:rPr>
          <w:szCs w:val="30"/>
          <w:lang w:val="en-US"/>
        </w:rPr>
      </w:pPr>
      <w:r>
        <w:rPr>
          <w:rStyle w:val="Promulgator"/>
          <w:szCs w:val="30"/>
        </w:rPr>
        <w:t xml:space="preserve">Республики Беларусь </w:t>
      </w:r>
    </w:p>
    <w:p w:rsidR="00343CC8" w:rsidRDefault="00343CC8">
      <w:pPr>
        <w:pStyle w:val="newncpi"/>
        <w:spacing w:line="280" w:lineRule="exact"/>
        <w:jc w:val="center"/>
        <w:rPr>
          <w:szCs w:val="30"/>
          <w:lang w:val="en-US"/>
        </w:rPr>
      </w:pPr>
    </w:p>
    <w:p w:rsidR="00343CC8" w:rsidRDefault="00343CC8">
      <w:pPr>
        <w:pStyle w:val="newncpi"/>
        <w:spacing w:line="280" w:lineRule="exact"/>
        <w:jc w:val="center"/>
        <w:rPr>
          <w:szCs w:val="30"/>
        </w:rPr>
      </w:pPr>
    </w:p>
    <w:p w:rsidR="00343CC8" w:rsidRDefault="00343CC8">
      <w:pPr>
        <w:pStyle w:val="2"/>
        <w:jc w:val="center"/>
        <w:rPr>
          <w:sz w:val="32"/>
          <w:szCs w:val="32"/>
        </w:rPr>
      </w:pPr>
      <w:r>
        <w:rPr>
          <w:rStyle w:val="Name"/>
          <w:szCs w:val="30"/>
        </w:rPr>
        <w:t>ПОСТАНОВЛЕНИЕ</w:t>
      </w:r>
    </w:p>
    <w:p w:rsidR="00343CC8" w:rsidRDefault="00343CC8">
      <w:pPr>
        <w:pStyle w:val="newncpi"/>
        <w:spacing w:line="280" w:lineRule="exact"/>
        <w:jc w:val="center"/>
        <w:rPr>
          <w:sz w:val="32"/>
          <w:szCs w:val="32"/>
        </w:rPr>
      </w:pPr>
    </w:p>
    <w:p w:rsidR="00343CC8" w:rsidRDefault="00343CC8">
      <w:pPr>
        <w:pStyle w:val="newncpi"/>
        <w:spacing w:line="280" w:lineRule="exact"/>
        <w:jc w:val="center"/>
        <w:rPr>
          <w:sz w:val="32"/>
          <w:szCs w:val="32"/>
        </w:rPr>
      </w:pPr>
    </w:p>
    <w:p w:rsidR="00343CC8" w:rsidRDefault="00343CC8" w:rsidP="00CE5439">
      <w:pPr>
        <w:pStyle w:val="newncpi"/>
        <w:tabs>
          <w:tab w:val="left" w:pos="-709"/>
          <w:tab w:val="left" w:pos="-284"/>
        </w:tabs>
        <w:jc w:val="center"/>
      </w:pPr>
      <w:bookmarkStart w:id="0" w:name="_GoBack"/>
      <w:bookmarkEnd w:id="0"/>
      <w:r>
        <w:rPr>
          <w:rStyle w:val="Number"/>
        </w:rPr>
        <w:t>№</w:t>
      </w:r>
      <w:r>
        <w:rPr>
          <w:rStyle w:val="Number"/>
        </w:rPr>
        <w:tab/>
      </w:r>
      <w:r>
        <w:rPr>
          <w:rStyle w:val="Number"/>
        </w:rPr>
        <w:tab/>
      </w:r>
      <w:r>
        <w:rPr>
          <w:rStyle w:val="Number"/>
        </w:rPr>
        <w:tab/>
      </w:r>
      <w:r>
        <w:rPr>
          <w:rStyle w:val="Number"/>
        </w:rPr>
        <w:tab/>
      </w:r>
      <w:r>
        <w:rPr>
          <w:rStyle w:val="Number"/>
        </w:rPr>
        <w:tab/>
      </w:r>
      <w:r>
        <w:rPr>
          <w:rStyle w:val="Number"/>
        </w:rPr>
        <w:tab/>
      </w:r>
      <w:r>
        <w:rPr>
          <w:rStyle w:val="placeprin"/>
        </w:rPr>
        <w:t>г. Минск</w:t>
      </w:r>
    </w:p>
    <w:p w:rsidR="00343CC8" w:rsidRDefault="00343CC8">
      <w:pPr>
        <w:pStyle w:val="14"/>
        <w:spacing w:line="240" w:lineRule="auto"/>
        <w:ind w:right="5102"/>
        <w:jc w:val="both"/>
        <w:rPr>
          <w:b w:val="0"/>
          <w:bCs w:val="0"/>
        </w:rPr>
      </w:pPr>
    </w:p>
    <w:p w:rsidR="00343CC8" w:rsidRDefault="00343CC8">
      <w:pPr>
        <w:pStyle w:val="14"/>
        <w:spacing w:line="240" w:lineRule="auto"/>
        <w:ind w:right="5102"/>
        <w:jc w:val="both"/>
        <w:rPr>
          <w:b w:val="0"/>
          <w:bCs w:val="0"/>
        </w:rPr>
      </w:pPr>
    </w:p>
    <w:p w:rsidR="00343CC8" w:rsidRDefault="00343CC8">
      <w:pPr>
        <w:pStyle w:val="14"/>
        <w:spacing w:line="240" w:lineRule="auto"/>
        <w:ind w:right="5102"/>
        <w:jc w:val="both"/>
      </w:pPr>
      <w:r>
        <w:rPr>
          <w:b w:val="0"/>
        </w:rPr>
        <w:t>Об утверждении Положения о порядке выдачи разрешений на применение средств защиты растений, не включенных в Государственный реестр средств защиты растений и удобрений, разрешенных к применению на территории Республики Беларусь и применения таких средств защиты растений и внесении дополнений в постановление Совета Министров Республики Беларусь от 17 февраля 2012 г. № 156</w:t>
      </w:r>
    </w:p>
    <w:p w:rsidR="00343CC8" w:rsidRDefault="00343CC8">
      <w:pPr>
        <w:pStyle w:val="ConsPlusNormal"/>
        <w:ind w:firstLine="540"/>
        <w:jc w:val="both"/>
      </w:pPr>
    </w:p>
    <w:p w:rsidR="00343CC8" w:rsidRDefault="00343CC8">
      <w:pPr>
        <w:pStyle w:val="UnderPoint"/>
      </w:pPr>
      <w:r>
        <w:t>В соответствии с частью третьей статьи 22 Закона Республики Беларусь от 25 декабря 2005 года «О карантине и защите растений» Совет Министров Республики Беларусь ПОСТАНОВЛЯЕТ:</w:t>
      </w:r>
    </w:p>
    <w:p w:rsidR="00343CC8" w:rsidRDefault="00343CC8">
      <w:pPr>
        <w:pStyle w:val="UnderPoint"/>
        <w:numPr>
          <w:ilvl w:val="0"/>
          <w:numId w:val="3"/>
        </w:numPr>
        <w:tabs>
          <w:tab w:val="left" w:pos="0"/>
        </w:tabs>
        <w:ind w:left="0" w:firstLine="720"/>
      </w:pPr>
      <w:r>
        <w:t>Утвердить прилагаемое Положение о порядке выдачи разрешений на применение средств защиты растений, не включенных в Государственный реестр средств защиты растений и удобрений, разрешенных к применению на те</w:t>
      </w:r>
      <w:r w:rsidR="00CE5439">
        <w:t>рритории Республики Беларусь, и</w:t>
      </w:r>
      <w:r>
        <w:t xml:space="preserve"> применения таких средств защиты растений.</w:t>
      </w:r>
    </w:p>
    <w:p w:rsidR="00C17646" w:rsidRDefault="00343CC8" w:rsidP="00C17646">
      <w:pPr>
        <w:pStyle w:val="UnderPoint"/>
        <w:numPr>
          <w:ilvl w:val="0"/>
          <w:numId w:val="3"/>
        </w:numPr>
        <w:tabs>
          <w:tab w:val="left" w:pos="0"/>
        </w:tabs>
        <w:ind w:left="0" w:firstLine="720"/>
        <w:rPr>
          <w:sz w:val="24"/>
          <w:szCs w:val="24"/>
        </w:rPr>
      </w:pPr>
      <w:r>
        <w:t xml:space="preserve">Главу 7 единого </w:t>
      </w:r>
      <w:hyperlink r:id="rId7" w:history="1">
        <w:r w:rsidRPr="0034593F">
          <w:rPr>
            <w:rStyle w:val="a5"/>
            <w:color w:val="auto"/>
            <w:u w:val="none"/>
          </w:rPr>
          <w:t>перечня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 февраля 2012 г. № 156 «Об утверждении единого перечня </w:t>
      </w:r>
      <w:r>
        <w:lastRenderedPageBreak/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5/35330; № 68, 5/35820; Национальный правовой Интернет-портал Республики Беларусь, 19.11.2013, 5/38009; 04.12.2013, 5/38081; 23.05.2014, 5/38881; 12.06.2014, 5/38978; 06.01.2016, 5/41508; 22.09.2016, 5/42642) дополнить пунктом 7.35 следующего содержания:</w:t>
      </w:r>
    </w:p>
    <w:tbl>
      <w:tblPr>
        <w:tblW w:w="9885" w:type="dxa"/>
        <w:tblLayout w:type="fixed"/>
        <w:tblLook w:val="0000" w:firstRow="0" w:lastRow="0" w:firstColumn="0" w:lastColumn="0" w:noHBand="0" w:noVBand="0"/>
      </w:tblPr>
      <w:tblGrid>
        <w:gridCol w:w="2028"/>
        <w:gridCol w:w="2049"/>
        <w:gridCol w:w="2694"/>
        <w:gridCol w:w="1275"/>
        <w:gridCol w:w="568"/>
        <w:gridCol w:w="1271"/>
      </w:tblGrid>
      <w:tr w:rsidR="00343CC8" w:rsidTr="005B5F0C">
        <w:tc>
          <w:tcPr>
            <w:tcW w:w="2028" w:type="dxa"/>
            <w:shd w:val="clear" w:color="auto" w:fill="auto"/>
          </w:tcPr>
          <w:p w:rsidR="00C17646" w:rsidRDefault="00C17646">
            <w:pPr>
              <w:pStyle w:val="UnderPoint"/>
              <w:ind w:firstLine="0"/>
              <w:rPr>
                <w:sz w:val="24"/>
                <w:szCs w:val="24"/>
              </w:rPr>
            </w:pPr>
          </w:p>
          <w:p w:rsidR="00343CC8" w:rsidRDefault="00343CC8">
            <w:pPr>
              <w:pStyle w:val="UnderPoi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 Выдача разрешения на применение средств защиты растений, не включенных в Государственный реестр средств защиты растений и удобрений, разрешенных к применению на территории Республики Беларусь</w:t>
            </w:r>
          </w:p>
        </w:tc>
        <w:tc>
          <w:tcPr>
            <w:tcW w:w="2049" w:type="dxa"/>
            <w:shd w:val="clear" w:color="auto" w:fill="auto"/>
          </w:tcPr>
          <w:p w:rsidR="00C17646" w:rsidRDefault="00C17646">
            <w:pPr>
              <w:pStyle w:val="UnderPoint"/>
              <w:ind w:firstLine="0"/>
              <w:rPr>
                <w:sz w:val="24"/>
                <w:szCs w:val="24"/>
              </w:rPr>
            </w:pPr>
          </w:p>
          <w:p w:rsidR="00343CC8" w:rsidRDefault="00343CC8">
            <w:pPr>
              <w:pStyle w:val="UnderPoi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2694" w:type="dxa"/>
            <w:shd w:val="clear" w:color="auto" w:fill="auto"/>
          </w:tcPr>
          <w:p w:rsidR="00C17646" w:rsidRDefault="00C17646">
            <w:pPr>
              <w:pStyle w:val="UnderPoint"/>
              <w:ind w:firstLine="0"/>
              <w:rPr>
                <w:sz w:val="24"/>
                <w:szCs w:val="24"/>
              </w:rPr>
            </w:pPr>
          </w:p>
          <w:p w:rsidR="00343CC8" w:rsidRDefault="00343CC8">
            <w:pPr>
              <w:pStyle w:val="UnderPoi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с обоснованием необходимости применения средств защиты растений, не включенных в Государственный реестр средств защиты растений и удобрений, разрешенных к применению на территории Республики Беларусь</w:t>
            </w:r>
          </w:p>
          <w:p w:rsidR="00343CC8" w:rsidRDefault="00343CC8">
            <w:pPr>
              <w:pStyle w:val="UnderPoint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17646" w:rsidRDefault="00C17646">
            <w:pPr>
              <w:pStyle w:val="UnderPoint"/>
              <w:ind w:firstLine="0"/>
              <w:rPr>
                <w:sz w:val="24"/>
                <w:szCs w:val="24"/>
              </w:rPr>
            </w:pPr>
          </w:p>
          <w:p w:rsidR="00343CC8" w:rsidRPr="005B5F0C" w:rsidRDefault="00343CC8">
            <w:pPr>
              <w:pStyle w:val="UnderPoint"/>
              <w:ind w:firstLine="0"/>
              <w:rPr>
                <w:sz w:val="24"/>
                <w:szCs w:val="24"/>
              </w:rPr>
            </w:pPr>
            <w:r w:rsidRPr="005B5F0C">
              <w:rPr>
                <w:sz w:val="24"/>
                <w:szCs w:val="24"/>
              </w:rPr>
              <w:t>5 дней, а в случае направления запроса в другие государственные органы, иные организации -  15 дней</w:t>
            </w:r>
          </w:p>
        </w:tc>
        <w:tc>
          <w:tcPr>
            <w:tcW w:w="568" w:type="dxa"/>
            <w:shd w:val="clear" w:color="auto" w:fill="auto"/>
          </w:tcPr>
          <w:p w:rsidR="00C17646" w:rsidRDefault="00C17646">
            <w:pPr>
              <w:pStyle w:val="UnderPoint"/>
              <w:ind w:firstLine="0"/>
              <w:rPr>
                <w:sz w:val="24"/>
                <w:szCs w:val="24"/>
              </w:rPr>
            </w:pPr>
          </w:p>
          <w:p w:rsidR="00343CC8" w:rsidRDefault="00343CC8">
            <w:pPr>
              <w:pStyle w:val="UnderPoi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71" w:type="dxa"/>
            <w:shd w:val="clear" w:color="auto" w:fill="auto"/>
          </w:tcPr>
          <w:p w:rsidR="00C17646" w:rsidRDefault="00C17646">
            <w:pPr>
              <w:pStyle w:val="UnderPoint"/>
              <w:ind w:firstLine="0"/>
              <w:rPr>
                <w:sz w:val="24"/>
                <w:szCs w:val="24"/>
              </w:rPr>
            </w:pPr>
          </w:p>
          <w:p w:rsidR="00343CC8" w:rsidRDefault="00343CC8">
            <w:pPr>
              <w:pStyle w:val="UnderPoint"/>
              <w:ind w:firstLine="0"/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343CC8" w:rsidTr="005B5F0C">
        <w:tc>
          <w:tcPr>
            <w:tcW w:w="2028" w:type="dxa"/>
            <w:shd w:val="clear" w:color="auto" w:fill="auto"/>
          </w:tcPr>
          <w:p w:rsidR="00343CC8" w:rsidRDefault="00343CC8">
            <w:pPr>
              <w:pStyle w:val="UnderPoint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343CC8" w:rsidRDefault="00343CC8">
            <w:pPr>
              <w:pStyle w:val="UnderPoint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43CC8" w:rsidRDefault="00343CC8">
            <w:pPr>
              <w:pStyle w:val="UnderPoi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о качестве и безопасности средств защиты растений (при ввозе средств защиты растений на территорию Республики Беларусь с территории другого государства)*</w:t>
            </w:r>
          </w:p>
        </w:tc>
        <w:tc>
          <w:tcPr>
            <w:tcW w:w="1275" w:type="dxa"/>
            <w:shd w:val="clear" w:color="auto" w:fill="auto"/>
          </w:tcPr>
          <w:p w:rsidR="00343CC8" w:rsidRDefault="00343CC8">
            <w:pPr>
              <w:pStyle w:val="UnderPoint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343CC8" w:rsidRDefault="00343CC8">
            <w:pPr>
              <w:pStyle w:val="UnderPoint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43CC8" w:rsidRDefault="00343CC8">
            <w:pPr>
              <w:pStyle w:val="UnderPoint"/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343CC8" w:rsidRDefault="00343CC8">
      <w:pPr>
        <w:pStyle w:val="UnderPoint"/>
        <w:ind w:right="-285"/>
        <w:jc w:val="right"/>
      </w:pPr>
      <w:r>
        <w:t xml:space="preserve">  ».</w:t>
      </w:r>
    </w:p>
    <w:p w:rsidR="00343CC8" w:rsidRDefault="00343CC8">
      <w:pPr>
        <w:pStyle w:val="UnderPoint"/>
      </w:pPr>
      <w:r>
        <w:t xml:space="preserve">3. Настоящее постановление вступает в </w:t>
      </w:r>
      <w:r w:rsidRPr="005B5F0C">
        <w:t>силу через три месяца после его официального опубликования.</w:t>
      </w:r>
    </w:p>
    <w:p w:rsidR="00343CC8" w:rsidRDefault="00343CC8">
      <w:pPr>
        <w:spacing w:line="280" w:lineRule="exact"/>
        <w:ind w:right="-57"/>
      </w:pPr>
    </w:p>
    <w:p w:rsidR="00343CC8" w:rsidRDefault="00343CC8">
      <w:pPr>
        <w:spacing w:line="280" w:lineRule="exact"/>
        <w:ind w:right="-57"/>
        <w:rPr>
          <w:rStyle w:val="Post"/>
        </w:rPr>
      </w:pPr>
      <w:r>
        <w:rPr>
          <w:rStyle w:val="Post"/>
        </w:rPr>
        <w:t>Премьер-министр</w:t>
      </w:r>
    </w:p>
    <w:p w:rsidR="00343CC8" w:rsidRDefault="00343CC8">
      <w:pPr>
        <w:spacing w:line="280" w:lineRule="exact"/>
        <w:ind w:right="-57"/>
        <w:rPr>
          <w:color w:val="000000"/>
          <w:sz w:val="24"/>
          <w:szCs w:val="24"/>
        </w:rPr>
      </w:pPr>
      <w:r>
        <w:rPr>
          <w:rStyle w:val="Post"/>
        </w:rPr>
        <w:t>Республики Беларусь</w:t>
      </w:r>
    </w:p>
    <w:p w:rsidR="00343CC8" w:rsidRDefault="00343CC8">
      <w:pPr>
        <w:shd w:val="clear" w:color="auto" w:fill="FFFFFF"/>
        <w:rPr>
          <w:color w:val="000000"/>
          <w:sz w:val="24"/>
          <w:szCs w:val="24"/>
        </w:rPr>
      </w:pPr>
    </w:p>
    <w:p w:rsidR="00343CC8" w:rsidRDefault="00343CC8">
      <w:pPr>
        <w:shd w:val="clear" w:color="auto" w:fill="FFFFFF"/>
        <w:rPr>
          <w:color w:val="000000"/>
          <w:sz w:val="24"/>
          <w:szCs w:val="24"/>
        </w:rPr>
      </w:pPr>
    </w:p>
    <w:p w:rsidR="00343CC8" w:rsidRDefault="00343CC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</w:p>
    <w:p w:rsidR="00343CC8" w:rsidRDefault="00343CC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К документам,</w:t>
      </w:r>
      <w:r w:rsidR="00CE5439">
        <w:rPr>
          <w:color w:val="000000"/>
          <w:sz w:val="24"/>
          <w:szCs w:val="24"/>
        </w:rPr>
        <w:t xml:space="preserve"> представленным на иностранном </w:t>
      </w:r>
      <w:r>
        <w:rPr>
          <w:color w:val="000000"/>
          <w:sz w:val="24"/>
          <w:szCs w:val="24"/>
        </w:rPr>
        <w:t>языке, прилагается нотариально заверенный перевод на белорусском или русском языке.</w:t>
      </w:r>
    </w:p>
    <w:p w:rsidR="00343CC8" w:rsidRDefault="00343CC8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</w:p>
    <w:p w:rsidR="00343CC8" w:rsidRDefault="00343CC8">
      <w:pPr>
        <w:shd w:val="clear" w:color="auto" w:fill="FFFFFF"/>
        <w:ind w:left="5103"/>
        <w:rPr>
          <w:color w:val="000000"/>
          <w:sz w:val="30"/>
          <w:szCs w:val="30"/>
        </w:rPr>
      </w:pPr>
    </w:p>
    <w:p w:rsidR="00343CC8" w:rsidRDefault="00343CC8">
      <w:pPr>
        <w:shd w:val="clear" w:color="auto" w:fill="FFFFFF"/>
        <w:ind w:left="5103"/>
        <w:rPr>
          <w:color w:val="000000"/>
          <w:sz w:val="30"/>
          <w:szCs w:val="30"/>
        </w:rPr>
      </w:pPr>
    </w:p>
    <w:p w:rsidR="00343CC8" w:rsidRDefault="00343CC8">
      <w:pPr>
        <w:shd w:val="clear" w:color="auto" w:fill="FFFFFF"/>
        <w:ind w:left="510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УТВЕРЖДЕНО</w:t>
      </w:r>
    </w:p>
    <w:p w:rsidR="00343CC8" w:rsidRDefault="00343CC8">
      <w:pPr>
        <w:shd w:val="clear" w:color="auto" w:fill="FFFFFF"/>
        <w:tabs>
          <w:tab w:val="left" w:leader="underscore" w:pos="5851"/>
          <w:tab w:val="left" w:leader="underscore" w:pos="6528"/>
          <w:tab w:val="left" w:leader="underscore" w:pos="8611"/>
        </w:tabs>
        <w:ind w:left="510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Постановление</w:t>
      </w:r>
      <w:r>
        <w:rPr>
          <w:color w:val="000000"/>
          <w:sz w:val="30"/>
          <w:szCs w:val="30"/>
        </w:rPr>
        <w:br/>
        <w:t>Совета Министров</w:t>
      </w:r>
    </w:p>
    <w:p w:rsidR="00343CC8" w:rsidRDefault="00343CC8">
      <w:pPr>
        <w:shd w:val="clear" w:color="auto" w:fill="FFFFFF"/>
        <w:tabs>
          <w:tab w:val="left" w:leader="underscore" w:pos="5851"/>
          <w:tab w:val="left" w:leader="underscore" w:pos="6528"/>
          <w:tab w:val="left" w:leader="underscore" w:pos="8611"/>
        </w:tabs>
        <w:ind w:left="5103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</w:rPr>
        <w:t>Республики Беларусь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ab/>
        <w:t>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6"/>
          <w:sz w:val="30"/>
          <w:szCs w:val="30"/>
        </w:rPr>
        <w:t>.2018 №</w:t>
      </w:r>
      <w:r>
        <w:rPr>
          <w:color w:val="000000"/>
          <w:sz w:val="30"/>
          <w:szCs w:val="30"/>
        </w:rPr>
        <w:tab/>
      </w:r>
    </w:p>
    <w:p w:rsidR="00343CC8" w:rsidRDefault="00343CC8">
      <w:pPr>
        <w:shd w:val="clear" w:color="auto" w:fill="FFFFFF"/>
        <w:rPr>
          <w:color w:val="000000"/>
          <w:spacing w:val="-1"/>
          <w:sz w:val="30"/>
          <w:szCs w:val="30"/>
        </w:rPr>
      </w:pPr>
    </w:p>
    <w:p w:rsidR="00343CC8" w:rsidRDefault="00343CC8">
      <w:pPr>
        <w:shd w:val="clear" w:color="auto" w:fill="FFFFFF"/>
        <w:rPr>
          <w:color w:val="000000"/>
          <w:spacing w:val="-1"/>
          <w:sz w:val="30"/>
          <w:szCs w:val="30"/>
        </w:rPr>
      </w:pPr>
    </w:p>
    <w:p w:rsidR="00343CC8" w:rsidRDefault="00343CC8">
      <w:pPr>
        <w:shd w:val="clear" w:color="auto" w:fill="FFFFFF"/>
        <w:rPr>
          <w:color w:val="000000"/>
          <w:spacing w:val="-1"/>
          <w:sz w:val="30"/>
          <w:szCs w:val="30"/>
        </w:rPr>
      </w:pPr>
    </w:p>
    <w:p w:rsidR="00343CC8" w:rsidRDefault="00343CC8">
      <w:pPr>
        <w:pStyle w:val="UnderPoint"/>
        <w:ind w:firstLine="0"/>
      </w:pPr>
      <w:r>
        <w:t>ПОЛОЖЕНИЕ</w:t>
      </w:r>
    </w:p>
    <w:p w:rsidR="00343CC8" w:rsidRDefault="00343CC8">
      <w:pPr>
        <w:pStyle w:val="UnderPoint"/>
        <w:ind w:right="4535" w:firstLine="0"/>
        <w:rPr>
          <w:szCs w:val="30"/>
        </w:rPr>
      </w:pPr>
      <w:r>
        <w:t>о порядке выдачи разрешений на применение средств защиты растений, не включенных в Государственный реестр средств защиты растений и удобрений, разрешенных к применению на те</w:t>
      </w:r>
      <w:r w:rsidR="00CE5439">
        <w:t>рритории Республики Беларусь, и</w:t>
      </w:r>
      <w:r>
        <w:t xml:space="preserve"> применения таких средств защиты растений</w:t>
      </w:r>
    </w:p>
    <w:p w:rsidR="00343CC8" w:rsidRDefault="00343CC8">
      <w:pPr>
        <w:shd w:val="clear" w:color="auto" w:fill="FFFFFF"/>
        <w:ind w:right="4535"/>
        <w:jc w:val="both"/>
        <w:rPr>
          <w:sz w:val="30"/>
          <w:szCs w:val="30"/>
        </w:rPr>
      </w:pPr>
    </w:p>
    <w:p w:rsidR="00343CC8" w:rsidRDefault="00343CC8">
      <w:pPr>
        <w:numPr>
          <w:ilvl w:val="0"/>
          <w:numId w:val="2"/>
        </w:numPr>
        <w:tabs>
          <w:tab w:val="left" w:pos="0"/>
        </w:tabs>
        <w:autoSpaceDE w:val="0"/>
        <w:ind w:left="142" w:firstLine="567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Настоящим Положением, разработанным на основании </w:t>
      </w:r>
      <w:hyperlink r:id="rId8" w:history="1">
        <w:r w:rsidRPr="0034593F">
          <w:rPr>
            <w:rStyle w:val="a5"/>
            <w:color w:val="000000"/>
            <w:spacing w:val="2"/>
            <w:sz w:val="30"/>
            <w:szCs w:val="30"/>
            <w:u w:val="none"/>
          </w:rPr>
          <w:t>абзаца третьего статьи 22</w:t>
        </w:r>
      </w:hyperlink>
      <w:r w:rsidRPr="0034593F">
        <w:rPr>
          <w:color w:val="000000"/>
          <w:spacing w:val="2"/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>Закона Республики Беларусь от 25 декабря 2005 года «О карантине и защите растений» (Национальный реестр правовых актов Республики Беларусь, 2006 г., № 6, 2/1174; Национальный правовой Интернет-портал Республики Беларусь, 21.07.2016, 2/2396) и в целях обеспечения безопасного применения средств защиты растений, определяется порядок выдачи разрешений на применение средств защиты растений, не включенных в Государственный реестр средств защиты растений и удобрений, разрешенных к применению на территории Республики Беларусь, (далее – разрешение) и применения таких средств защиты растений.</w:t>
      </w:r>
    </w:p>
    <w:p w:rsidR="00343CC8" w:rsidRDefault="00343CC8">
      <w:pPr>
        <w:autoSpaceDE w:val="0"/>
        <w:ind w:firstLine="709"/>
        <w:jc w:val="both"/>
        <w:rPr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2. Юридическое лицо либо индивидуальный предприниматель в случае угрозы фитосанитарной безопасности Республики Беларусь (при отсутствии средств защиты растений, включенных в </w:t>
      </w:r>
      <w:r>
        <w:rPr>
          <w:spacing w:val="2"/>
          <w:sz w:val="30"/>
          <w:szCs w:val="30"/>
        </w:rPr>
        <w:t>Государственный реестр средств защиты растений и удобрений, разрешенных к применению на территории Республики Беларусь (далее – Государственный реестр) для применения на определенной культуре против определенного вредного организма</w:t>
      </w:r>
      <w:r>
        <w:rPr>
          <w:color w:val="000000"/>
          <w:spacing w:val="2"/>
          <w:sz w:val="30"/>
          <w:szCs w:val="30"/>
        </w:rPr>
        <w:t xml:space="preserve">), а также юридическое лицо с целью проведения научных исследований для получения разрешения </w:t>
      </w:r>
      <w:r>
        <w:rPr>
          <w:sz w:val="30"/>
          <w:szCs w:val="30"/>
        </w:rPr>
        <w:t>представляют в Министерство сельского хозяйства и продовольствия Республики Белару</w:t>
      </w:r>
      <w:r w:rsidR="00CE5439">
        <w:rPr>
          <w:sz w:val="30"/>
          <w:szCs w:val="30"/>
        </w:rPr>
        <w:t xml:space="preserve">сь заявление и иные документы, </w:t>
      </w:r>
      <w:r>
        <w:rPr>
          <w:sz w:val="30"/>
          <w:szCs w:val="30"/>
        </w:rPr>
        <w:t xml:space="preserve">указанные </w:t>
      </w:r>
      <w:r w:rsidRPr="0034593F">
        <w:rPr>
          <w:sz w:val="30"/>
          <w:szCs w:val="30"/>
        </w:rPr>
        <w:t xml:space="preserve">в </w:t>
      </w:r>
      <w:hyperlink r:id="rId9" w:history="1">
        <w:r w:rsidRPr="0034593F">
          <w:rPr>
            <w:rStyle w:val="a5"/>
            <w:color w:val="auto"/>
            <w:sz w:val="30"/>
            <w:szCs w:val="30"/>
            <w:u w:val="none"/>
          </w:rPr>
          <w:t>пункте 7.35</w:t>
        </w:r>
      </w:hyperlink>
      <w:r w:rsidRPr="003459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единого перечня административных процедур, осуществляемых уполномоченными органами в отношении юридических лиц и </w:t>
      </w:r>
      <w:r>
        <w:rPr>
          <w:sz w:val="30"/>
          <w:szCs w:val="30"/>
        </w:rPr>
        <w:lastRenderedPageBreak/>
        <w:t xml:space="preserve">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</w:t>
      </w:r>
      <w:r w:rsidR="0034593F">
        <w:rPr>
          <w:sz w:val="30"/>
          <w:szCs w:val="30"/>
        </w:rPr>
        <w:br/>
      </w:r>
      <w:r>
        <w:rPr>
          <w:sz w:val="30"/>
          <w:szCs w:val="30"/>
        </w:rPr>
        <w:t>№ 35, 5/35330).</w:t>
      </w:r>
    </w:p>
    <w:p w:rsidR="00343CC8" w:rsidRDefault="00343CC8">
      <w:pPr>
        <w:autoSpaceDE w:val="0"/>
        <w:ind w:firstLine="540"/>
        <w:jc w:val="both"/>
        <w:rPr>
          <w:szCs w:val="30"/>
        </w:rPr>
      </w:pPr>
      <w:r>
        <w:rPr>
          <w:sz w:val="30"/>
          <w:szCs w:val="30"/>
        </w:rPr>
        <w:t xml:space="preserve">Министерство сельского хозяйства и продовольствия Республики Беларусь вправе, при необходимости, запросить документы и сведения от других  государственных органов и иных организаций по вопросам, находящимся в их компетенции, в порядке, установленном </w:t>
      </w:r>
      <w:hyperlink r:id="rId10" w:history="1">
        <w:r w:rsidRPr="0034593F">
          <w:rPr>
            <w:rStyle w:val="a5"/>
            <w:color w:val="auto"/>
            <w:sz w:val="30"/>
            <w:szCs w:val="30"/>
            <w:u w:val="none"/>
          </w:rPr>
          <w:t>статьей 22</w:t>
        </w:r>
      </w:hyperlink>
      <w:r w:rsidRPr="003459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Закона Республики Беларусь от 28 октября 2008 года «Об основах административных процедур» (Национальный реестр правовых актов Республики Беларусь, 2008 г., № 264, 2/1530), и в сроки, установленные в </w:t>
      </w:r>
      <w:hyperlink r:id="rId11" w:history="1">
        <w:r w:rsidRPr="0090242E">
          <w:rPr>
            <w:rStyle w:val="a5"/>
            <w:color w:val="auto"/>
            <w:sz w:val="30"/>
            <w:szCs w:val="30"/>
            <w:u w:val="none"/>
          </w:rPr>
          <w:t>пункте 7.35</w:t>
        </w:r>
      </w:hyperlink>
      <w:r w:rsidRPr="0090242E">
        <w:rPr>
          <w:sz w:val="30"/>
          <w:szCs w:val="30"/>
        </w:rPr>
        <w:t xml:space="preserve"> </w:t>
      </w:r>
      <w:r>
        <w:rPr>
          <w:sz w:val="30"/>
          <w:szCs w:val="30"/>
        </w:rPr>
        <w:t>единого перечня административных процедур, осуществляемых уполномоченными органами в отношении юридических лиц и индивидуальных предпринимателей, рассматривает представленные документы и (или) сведения дл</w:t>
      </w:r>
      <w:r w:rsidR="00CE5439">
        <w:rPr>
          <w:sz w:val="30"/>
          <w:szCs w:val="30"/>
        </w:rPr>
        <w:t>я</w:t>
      </w:r>
      <w:r>
        <w:rPr>
          <w:sz w:val="30"/>
          <w:szCs w:val="30"/>
        </w:rPr>
        <w:t xml:space="preserve"> выдачи разрешения на применение средств защиты растений, не включенных в Государственный реестр, или об отказе в его выдаче.</w:t>
      </w:r>
    </w:p>
    <w:p w:rsidR="00343CC8" w:rsidRDefault="00343CC8">
      <w:pPr>
        <w:pStyle w:val="UnderPoint"/>
        <w:rPr>
          <w:szCs w:val="30"/>
        </w:rPr>
      </w:pPr>
      <w:r>
        <w:rPr>
          <w:szCs w:val="30"/>
        </w:rPr>
        <w:t>Не требуется</w:t>
      </w:r>
      <w:r>
        <w:t xml:space="preserve"> получения </w:t>
      </w:r>
      <w:r>
        <w:rPr>
          <w:szCs w:val="30"/>
        </w:rPr>
        <w:t xml:space="preserve">разрешения на применение средств защиты растений, не включенных в Государственный реестр, </w:t>
      </w:r>
      <w:r>
        <w:t>юридическим лицам, аттестованным</w:t>
      </w:r>
      <w:r>
        <w:rPr>
          <w:szCs w:val="30"/>
        </w:rPr>
        <w:t xml:space="preserve"> </w:t>
      </w:r>
      <w:r>
        <w:rPr>
          <w:color w:val="000000"/>
          <w:szCs w:val="30"/>
        </w:rPr>
        <w:t>Министерством сельского хозяйства и продовольствия Республики Беларусь</w:t>
      </w:r>
      <w:r>
        <w:rPr>
          <w:szCs w:val="30"/>
        </w:rPr>
        <w:t xml:space="preserve"> на право проведения испытаний средств защиты растений и удобрений, подлежащих государственной регистрации.</w:t>
      </w:r>
    </w:p>
    <w:p w:rsidR="00343CC8" w:rsidRDefault="00343CC8" w:rsidP="005B5F0C">
      <w:pPr>
        <w:pStyle w:val="UnderPoint"/>
        <w:rPr>
          <w:szCs w:val="30"/>
        </w:rPr>
      </w:pPr>
      <w:r>
        <w:rPr>
          <w:szCs w:val="30"/>
        </w:rPr>
        <w:t xml:space="preserve">3. Решение об отказе в принятии заявления или отказе в выдаче разрешения принимается в порядке и на основаниях, предусмотренных в </w:t>
      </w:r>
      <w:hyperlink r:id="rId12" w:history="1">
        <w:r w:rsidRPr="005B5F0C">
          <w:t>статьях 17</w:t>
        </w:r>
      </w:hyperlink>
      <w:r w:rsidRPr="0090242E">
        <w:rPr>
          <w:szCs w:val="30"/>
        </w:rPr>
        <w:t xml:space="preserve">, </w:t>
      </w:r>
      <w:hyperlink r:id="rId13" w:history="1">
        <w:r w:rsidRPr="005B5F0C">
          <w:t>25</w:t>
        </w:r>
      </w:hyperlink>
      <w:r w:rsidRPr="0090242E">
        <w:rPr>
          <w:szCs w:val="30"/>
        </w:rPr>
        <w:t xml:space="preserve"> и </w:t>
      </w:r>
      <w:hyperlink r:id="rId14" w:history="1">
        <w:r w:rsidRPr="005B5F0C">
          <w:t>26</w:t>
        </w:r>
      </w:hyperlink>
      <w:r w:rsidRPr="0090242E">
        <w:rPr>
          <w:szCs w:val="30"/>
        </w:rPr>
        <w:t xml:space="preserve"> </w:t>
      </w:r>
      <w:r>
        <w:rPr>
          <w:szCs w:val="30"/>
        </w:rPr>
        <w:t>Закона Республики Беларусь «Об основах административных процедур».</w:t>
      </w:r>
    </w:p>
    <w:p w:rsidR="00343CC8" w:rsidRDefault="005B5F0C" w:rsidP="005B5F0C">
      <w:pPr>
        <w:pStyle w:val="UnderPoint"/>
        <w:rPr>
          <w:szCs w:val="30"/>
        </w:rPr>
      </w:pPr>
      <w:r>
        <w:rPr>
          <w:szCs w:val="30"/>
        </w:rPr>
        <w:t xml:space="preserve">4. </w:t>
      </w:r>
      <w:r w:rsidR="00343CC8">
        <w:rPr>
          <w:szCs w:val="30"/>
        </w:rPr>
        <w:t xml:space="preserve">Уведомление о принятом решении органом, уполномоченным на выдачу разрешения, выдается или направляется заявителю в порядке, предусмотренном </w:t>
      </w:r>
      <w:hyperlink r:id="rId15" w:history="1">
        <w:r w:rsidR="00343CC8" w:rsidRPr="005B5F0C">
          <w:t>статьей 27</w:t>
        </w:r>
      </w:hyperlink>
      <w:r w:rsidR="00343CC8" w:rsidRPr="0090242E">
        <w:rPr>
          <w:szCs w:val="30"/>
        </w:rPr>
        <w:t xml:space="preserve"> </w:t>
      </w:r>
      <w:r w:rsidR="00343CC8">
        <w:rPr>
          <w:szCs w:val="30"/>
        </w:rPr>
        <w:t>Закона Республики Беларусь «Об основах административных процедур».</w:t>
      </w:r>
    </w:p>
    <w:p w:rsidR="00B41150" w:rsidRPr="005B5F0C" w:rsidRDefault="00B41150" w:rsidP="005B5F0C">
      <w:pPr>
        <w:pStyle w:val="UnderPoint"/>
        <w:rPr>
          <w:szCs w:val="30"/>
        </w:rPr>
      </w:pPr>
      <w:r>
        <w:rPr>
          <w:szCs w:val="30"/>
        </w:rPr>
        <w:t xml:space="preserve">5. В </w:t>
      </w:r>
      <w:r w:rsidRPr="005B5F0C">
        <w:rPr>
          <w:szCs w:val="30"/>
        </w:rPr>
        <w:t xml:space="preserve">случае </w:t>
      </w:r>
      <w:r>
        <w:rPr>
          <w:szCs w:val="30"/>
        </w:rPr>
        <w:t>угрозы фитосанитарной безопасности Республики Беларусь применение средств защиты растений</w:t>
      </w:r>
      <w:r w:rsidR="00C41DCA">
        <w:rPr>
          <w:szCs w:val="30"/>
        </w:rPr>
        <w:t>,</w:t>
      </w:r>
      <w:r>
        <w:rPr>
          <w:szCs w:val="30"/>
        </w:rPr>
        <w:t xml:space="preserve"> </w:t>
      </w:r>
      <w:r w:rsidR="00C41DCA">
        <w:rPr>
          <w:szCs w:val="30"/>
        </w:rPr>
        <w:t xml:space="preserve">в отношении которых выдано разрешение, возможно не только </w:t>
      </w:r>
      <w:r>
        <w:rPr>
          <w:szCs w:val="30"/>
        </w:rPr>
        <w:t>су</w:t>
      </w:r>
      <w:r w:rsidR="00C41DCA">
        <w:rPr>
          <w:szCs w:val="30"/>
        </w:rPr>
        <w:t>бъектом хозяйствования</w:t>
      </w:r>
      <w:r w:rsidRPr="00B41150">
        <w:rPr>
          <w:szCs w:val="30"/>
        </w:rPr>
        <w:t xml:space="preserve"> </w:t>
      </w:r>
      <w:r w:rsidR="00C41DCA">
        <w:rPr>
          <w:szCs w:val="30"/>
        </w:rPr>
        <w:t>его получившим, но и другими субъектами хозяйствования.</w:t>
      </w:r>
    </w:p>
    <w:p w:rsidR="00343CC8" w:rsidRDefault="00C41DCA" w:rsidP="005B5F0C">
      <w:pPr>
        <w:pStyle w:val="UnderPoint"/>
        <w:rPr>
          <w:szCs w:val="30"/>
        </w:rPr>
      </w:pPr>
      <w:r>
        <w:rPr>
          <w:szCs w:val="30"/>
        </w:rPr>
        <w:t>6</w:t>
      </w:r>
      <w:r w:rsidR="005B5F0C">
        <w:rPr>
          <w:szCs w:val="30"/>
        </w:rPr>
        <w:t>. Р</w:t>
      </w:r>
      <w:r w:rsidR="005B5F0C" w:rsidRPr="005B5F0C">
        <w:rPr>
          <w:szCs w:val="30"/>
        </w:rPr>
        <w:t>азрешения</w:t>
      </w:r>
      <w:r w:rsidR="005B5F0C">
        <w:rPr>
          <w:szCs w:val="30"/>
        </w:rPr>
        <w:t xml:space="preserve">, выданные в </w:t>
      </w:r>
      <w:r w:rsidR="00343CC8" w:rsidRPr="005B5F0C">
        <w:rPr>
          <w:szCs w:val="30"/>
        </w:rPr>
        <w:t xml:space="preserve">случае </w:t>
      </w:r>
      <w:r w:rsidR="005B5F0C">
        <w:rPr>
          <w:szCs w:val="30"/>
        </w:rPr>
        <w:t>угрозы фитосанитарной безопасности Республики Беларусь</w:t>
      </w:r>
      <w:r w:rsidR="00343CC8" w:rsidRPr="005B5F0C">
        <w:rPr>
          <w:szCs w:val="30"/>
        </w:rPr>
        <w:t xml:space="preserve">, а также сведения о прекращении их </w:t>
      </w:r>
      <w:r w:rsidR="00343CC8" w:rsidRPr="005B5F0C">
        <w:rPr>
          <w:szCs w:val="30"/>
        </w:rPr>
        <w:lastRenderedPageBreak/>
        <w:t>действия размещаются на сайте Министерства сельского хозяйства и продовольствия.</w:t>
      </w:r>
    </w:p>
    <w:p w:rsidR="00343CC8" w:rsidRDefault="00C41DCA">
      <w:pPr>
        <w:autoSpaceDE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343CC8">
        <w:rPr>
          <w:sz w:val="30"/>
          <w:szCs w:val="30"/>
        </w:rPr>
        <w:t>. Действие разрешения прекращается:</w:t>
      </w:r>
    </w:p>
    <w:p w:rsidR="00343CC8" w:rsidRDefault="00343CC8">
      <w:pPr>
        <w:autoSpaceDE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по истечении срока, на который оно выдано;</w:t>
      </w:r>
    </w:p>
    <w:p w:rsidR="00343CC8" w:rsidRDefault="00343CC8">
      <w:pPr>
        <w:autoSpaceDE w:val="0"/>
        <w:ind w:firstLine="540"/>
        <w:jc w:val="both"/>
        <w:rPr>
          <w:sz w:val="30"/>
          <w:szCs w:val="30"/>
          <w:shd w:val="clear" w:color="auto" w:fill="FF6600"/>
        </w:rPr>
      </w:pPr>
      <w:r>
        <w:rPr>
          <w:sz w:val="30"/>
          <w:szCs w:val="30"/>
        </w:rPr>
        <w:t>по решению Министерства сельского хозяйства и продовольствия об аннулировании разрешения в случае выявления недостоверных сведений в документах, представленных для его получения;</w:t>
      </w:r>
    </w:p>
    <w:p w:rsidR="00343CC8" w:rsidRDefault="00343CC8">
      <w:pPr>
        <w:autoSpaceDE w:val="0"/>
        <w:ind w:firstLine="540"/>
        <w:jc w:val="both"/>
        <w:rPr>
          <w:sz w:val="30"/>
          <w:szCs w:val="30"/>
        </w:rPr>
      </w:pPr>
      <w:r w:rsidRPr="005B5F0C">
        <w:rPr>
          <w:sz w:val="30"/>
          <w:szCs w:val="30"/>
        </w:rPr>
        <w:t>в случае включения средства защиты расте</w:t>
      </w:r>
      <w:r w:rsidR="00CE5439">
        <w:rPr>
          <w:sz w:val="30"/>
          <w:szCs w:val="30"/>
        </w:rPr>
        <w:t xml:space="preserve">ний, в отношении которого было </w:t>
      </w:r>
      <w:r w:rsidRPr="005B5F0C">
        <w:rPr>
          <w:sz w:val="30"/>
          <w:szCs w:val="30"/>
        </w:rPr>
        <w:t>выдано разрешение, в Государственный реестр;</w:t>
      </w:r>
    </w:p>
    <w:p w:rsidR="00343CC8" w:rsidRDefault="00343CC8">
      <w:pPr>
        <w:autoSpaceDE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по решению суда.</w:t>
      </w:r>
    </w:p>
    <w:p w:rsidR="00343CC8" w:rsidRDefault="00C41DCA">
      <w:pPr>
        <w:autoSpaceDE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343CC8">
        <w:rPr>
          <w:sz w:val="30"/>
          <w:szCs w:val="30"/>
        </w:rPr>
        <w:t>. Министерство сельского хозяйства и продовольствия в трехдневный срок со дня принятия решения об аннулировании разрешения письменно уведомляет об этом заявителя.</w:t>
      </w:r>
    </w:p>
    <w:p w:rsidR="00343CC8" w:rsidRDefault="00C41DCA">
      <w:pPr>
        <w:tabs>
          <w:tab w:val="left" w:pos="7371"/>
        </w:tabs>
        <w:autoSpaceDE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343CC8">
        <w:rPr>
          <w:sz w:val="30"/>
          <w:szCs w:val="30"/>
        </w:rPr>
        <w:t>. Принятое Министерством сельского хозяйства и продовольствия решение может быть обжаловано в порядке, установленном законодательством.</w:t>
      </w:r>
    </w:p>
    <w:p w:rsidR="00343CC8" w:rsidRDefault="00C41DCA" w:rsidP="00CE5439">
      <w:pPr>
        <w:tabs>
          <w:tab w:val="left" w:pos="7371"/>
        </w:tabs>
        <w:autoSpaceDE w:val="0"/>
        <w:ind w:firstLine="540"/>
        <w:jc w:val="both"/>
      </w:pPr>
      <w:r>
        <w:rPr>
          <w:sz w:val="30"/>
          <w:szCs w:val="30"/>
        </w:rPr>
        <w:t>10. Применение средств защиты растений, не включенных в Государственный реестр, осуществляется в</w:t>
      </w:r>
      <w:r>
        <w:t xml:space="preserve"> </w:t>
      </w:r>
      <w:r>
        <w:rPr>
          <w:sz w:val="30"/>
          <w:szCs w:val="30"/>
        </w:rPr>
        <w:t>соответствии с требованиями санитарных правил, иными обязательными для соблюдения требованиями технических нормативных правовых актов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</w:p>
    <w:sectPr w:rsidR="00343CC8" w:rsidSect="00C17646"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24" w:rsidRDefault="00176624">
      <w:r>
        <w:separator/>
      </w:r>
    </w:p>
  </w:endnote>
  <w:endnote w:type="continuationSeparator" w:id="0">
    <w:p w:rsidR="00176624" w:rsidRDefault="0017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46" w:rsidRDefault="00C17646" w:rsidP="00585AAE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17646" w:rsidRDefault="00C17646" w:rsidP="00C1764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46" w:rsidRDefault="00C17646" w:rsidP="00585AAE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5439">
      <w:rPr>
        <w:rStyle w:val="a3"/>
        <w:noProof/>
      </w:rPr>
      <w:t>2</w:t>
    </w:r>
    <w:r>
      <w:rPr>
        <w:rStyle w:val="a3"/>
      </w:rPr>
      <w:fldChar w:fldCharType="end"/>
    </w:r>
  </w:p>
  <w:p w:rsidR="00C17646" w:rsidRDefault="00C17646" w:rsidP="00C1764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24" w:rsidRDefault="00176624">
      <w:r>
        <w:separator/>
      </w:r>
    </w:p>
  </w:footnote>
  <w:footnote w:type="continuationSeparator" w:id="0">
    <w:p w:rsidR="00176624" w:rsidRDefault="0017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C8" w:rsidRDefault="00343CC8">
    <w:pPr>
      <w:pStyle w:val="ab"/>
      <w:tabs>
        <w:tab w:val="left" w:pos="4536"/>
      </w:tabs>
      <w:rPr>
        <w:sz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.45pt;height:16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43CC8" w:rsidRDefault="00343CC8">
                <w:pPr>
                  <w:pStyle w:val="ab"/>
                </w:pPr>
                <w:r>
                  <w:rPr>
                    <w:rStyle w:val="a3"/>
                    <w:sz w:val="28"/>
                  </w:rPr>
                  <w:fldChar w:fldCharType="begin"/>
                </w:r>
                <w:r>
                  <w:rPr>
                    <w:rStyle w:val="a3"/>
                    <w:sz w:val="28"/>
                  </w:rPr>
                  <w:instrText xml:space="preserve"> PAGE </w:instrText>
                </w:r>
                <w:r>
                  <w:rPr>
                    <w:rStyle w:val="a3"/>
                    <w:sz w:val="28"/>
                  </w:rPr>
                  <w:fldChar w:fldCharType="separate"/>
                </w:r>
                <w:r w:rsidR="00CE5439">
                  <w:rPr>
                    <w:rStyle w:val="a3"/>
                    <w:noProof/>
                    <w:sz w:val="28"/>
                  </w:rPr>
                  <w:t>2</w:t>
                </w:r>
                <w:r>
                  <w:rPr>
                    <w:rStyle w:val="a3"/>
                    <w:sz w:val="2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pacing w:val="2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30"/>
        <w:szCs w:val="30"/>
        <w:shd w:val="clear" w:color="auto" w:fill="FF660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93F"/>
    <w:rsid w:val="00176624"/>
    <w:rsid w:val="00343CC8"/>
    <w:rsid w:val="003458D7"/>
    <w:rsid w:val="0034593F"/>
    <w:rsid w:val="004F0CBC"/>
    <w:rsid w:val="00585AAE"/>
    <w:rsid w:val="005B5F0C"/>
    <w:rsid w:val="0090242E"/>
    <w:rsid w:val="00AA51D0"/>
    <w:rsid w:val="00B41150"/>
    <w:rsid w:val="00C17646"/>
    <w:rsid w:val="00C41DCA"/>
    <w:rsid w:val="00CE5439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89D06B5"/>
  <w15:chartTrackingRefBased/>
  <w15:docId w15:val="{09EA42E9-D492-49F7-AA74-AD855C1A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58" w:firstLine="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jc w:val="center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6662" w:right="-57" w:firstLine="0"/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80" w:lineRule="exact"/>
      <w:ind w:left="0" w:right="-57" w:firstLine="0"/>
      <w:outlineLvl w:val="5"/>
    </w:pPr>
    <w:rPr>
      <w:sz w:val="3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  <w:spacing w:val="2"/>
      <w:sz w:val="30"/>
      <w:szCs w:val="3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  <w:sz w:val="30"/>
      <w:szCs w:val="30"/>
      <w:shd w:val="clear" w:color="auto" w:fill="FF66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Основной шрифт абзаца1"/>
  </w:style>
  <w:style w:type="character" w:styleId="a3">
    <w:name w:val="page number"/>
    <w:rPr>
      <w:rFonts w:cs="Times New Roman"/>
    </w:rPr>
  </w:style>
  <w:style w:type="character" w:customStyle="1" w:styleId="Promulgator">
    <w:name w:val="Promulgator"/>
    <w:rPr>
      <w:rFonts w:cs="Times New Roman"/>
    </w:rPr>
  </w:style>
  <w:style w:type="character" w:customStyle="1" w:styleId="Name">
    <w:name w:val="Name"/>
    <w:rPr>
      <w:rFonts w:cs="Times New Roman"/>
      <w:sz w:val="30"/>
    </w:rPr>
  </w:style>
  <w:style w:type="character" w:customStyle="1" w:styleId="DatePr">
    <w:name w:val="DatePr"/>
    <w:rPr>
      <w:rFonts w:cs="Times New Roman"/>
      <w:sz w:val="30"/>
    </w:rPr>
  </w:style>
  <w:style w:type="character" w:customStyle="1" w:styleId="Number">
    <w:name w:val="Number"/>
    <w:rPr>
      <w:rFonts w:cs="Times New Roman"/>
      <w:sz w:val="30"/>
    </w:rPr>
  </w:style>
  <w:style w:type="character" w:customStyle="1" w:styleId="placeprin">
    <w:name w:val="placeprin"/>
    <w:rPr>
      <w:rFonts w:cs="Times New Roman"/>
      <w:sz w:val="30"/>
    </w:rPr>
  </w:style>
  <w:style w:type="character" w:customStyle="1" w:styleId="Post">
    <w:name w:val="Post"/>
    <w:rPr>
      <w:rFonts w:cs="Times New Roman"/>
      <w:sz w:val="30"/>
    </w:rPr>
  </w:style>
  <w:style w:type="character" w:customStyle="1" w:styleId="11">
    <w:name w:val=" Знак Знак1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4">
    <w:name w:val=" Знак Знак"/>
    <w:basedOn w:val="10"/>
  </w:style>
  <w:style w:type="character" w:customStyle="1" w:styleId="FontStyle12">
    <w:name w:val="Font Style12"/>
    <w:rPr>
      <w:rFonts w:ascii="Times New Roman" w:hAnsi="Times New Roman" w:cs="Times New Roman"/>
      <w:i/>
      <w:sz w:val="26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character" w:customStyle="1" w:styleId="a7">
    <w:name w:val="Символ нумерации"/>
    <w:rPr>
      <w:sz w:val="30"/>
      <w:szCs w:val="3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line="360" w:lineRule="auto"/>
      <w:ind w:right="-57"/>
      <w:jc w:val="both"/>
    </w:pPr>
    <w:rPr>
      <w:sz w:val="28"/>
    </w:rPr>
  </w:style>
  <w:style w:type="paragraph" w:styleId="aa">
    <w:name w:val="List"/>
    <w:basedOn w:val="a9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spacing w:line="360" w:lineRule="auto"/>
      <w:ind w:right="-57"/>
    </w:pPr>
    <w:rPr>
      <w:sz w:val="30"/>
    </w:rPr>
  </w:style>
  <w:style w:type="paragraph" w:customStyle="1" w:styleId="Preamble">
    <w:name w:val="Preamble"/>
    <w:basedOn w:val="21"/>
    <w:pPr>
      <w:spacing w:line="240" w:lineRule="auto"/>
      <w:ind w:firstLine="709"/>
    </w:pPr>
  </w:style>
  <w:style w:type="paragraph" w:customStyle="1" w:styleId="14">
    <w:name w:val="Название1"/>
    <w:basedOn w:val="2"/>
    <w:pPr>
      <w:numPr>
        <w:ilvl w:val="0"/>
        <w:numId w:val="0"/>
      </w:numPr>
      <w:spacing w:line="280" w:lineRule="exact"/>
      <w:ind w:right="-57"/>
    </w:pPr>
    <w:rPr>
      <w:sz w:val="30"/>
    </w:rPr>
  </w:style>
  <w:style w:type="paragraph" w:customStyle="1" w:styleId="Appendix1">
    <w:name w:val="Appendix1"/>
    <w:basedOn w:val="1"/>
    <w:pPr>
      <w:numPr>
        <w:numId w:val="0"/>
      </w:numPr>
      <w:spacing w:line="280" w:lineRule="exact"/>
      <w:ind w:left="6662"/>
      <w:jc w:val="left"/>
    </w:pPr>
    <w:rPr>
      <w:b w:val="0"/>
      <w:caps w:val="0"/>
      <w:sz w:val="30"/>
    </w:rPr>
  </w:style>
  <w:style w:type="paragraph" w:customStyle="1" w:styleId="Appendix">
    <w:name w:val="Appendix"/>
    <w:basedOn w:val="a"/>
    <w:pPr>
      <w:spacing w:line="280" w:lineRule="exact"/>
      <w:ind w:left="6662" w:right="-57"/>
    </w:pPr>
    <w:rPr>
      <w:sz w:val="30"/>
    </w:rPr>
  </w:style>
  <w:style w:type="paragraph" w:customStyle="1" w:styleId="TitleP">
    <w:name w:val="TitleP"/>
    <w:basedOn w:val="a"/>
    <w:pPr>
      <w:widowControl w:val="0"/>
      <w:jc w:val="center"/>
    </w:pPr>
    <w:rPr>
      <w:color w:val="000000"/>
      <w:sz w:val="30"/>
    </w:rPr>
  </w:style>
  <w:style w:type="paragraph" w:customStyle="1" w:styleId="Point">
    <w:name w:val="Point"/>
    <w:basedOn w:val="a"/>
    <w:pPr>
      <w:ind w:right="-57" w:firstLine="709"/>
      <w:jc w:val="both"/>
    </w:pPr>
    <w:rPr>
      <w:sz w:val="30"/>
    </w:rPr>
  </w:style>
  <w:style w:type="paragraph" w:customStyle="1" w:styleId="UnderPoint">
    <w:name w:val="UnderPoint"/>
    <w:basedOn w:val="a"/>
    <w:pPr>
      <w:ind w:firstLine="709"/>
      <w:jc w:val="both"/>
    </w:pPr>
    <w:rPr>
      <w:sz w:val="30"/>
    </w:rPr>
  </w:style>
  <w:style w:type="paragraph" w:customStyle="1" w:styleId="newncpi">
    <w:name w:val="newncpi"/>
    <w:basedOn w:val="a"/>
    <w:pPr>
      <w:jc w:val="right"/>
    </w:pPr>
    <w:rPr>
      <w:sz w:val="30"/>
    </w:rPr>
  </w:style>
  <w:style w:type="paragraph" w:customStyle="1" w:styleId="Proekt">
    <w:name w:val="Proekt"/>
    <w:basedOn w:val="newncpi"/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Текст примечания1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30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30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74278B6A9C60B93E1F1F95FD55A6FB12AB2D3AC48E5E3229A06A3EED3626B5E8CD1FDF68E8520C54A6F0D83GAO4I" TargetMode="External"/><Relationship Id="rId13" Type="http://schemas.openxmlformats.org/officeDocument/2006/relationships/hyperlink" Target="consultantplus://offline/ref=A60C44F7C9EE6527664AEB160A064904F09800C006010AC3FF93820273594AC37428E54E91F32950288808F0B4N4UB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A1C606D4DE9ACE257C945AB76DB5FBD3BADC81A7F8765F3A7DDF2B82616187CC9AA7CA238A452568BF19C1EZ9s4P" TargetMode="External"/><Relationship Id="rId12" Type="http://schemas.openxmlformats.org/officeDocument/2006/relationships/hyperlink" Target="consultantplus://offline/ref=A60C44F7C9EE6527664AEB160A064904F09800C006010AC3FF93820273594AC37428E54E91F32950288808F3B0N4U7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7A9C61CEC3CD81CD79B689E8091946E9088F87D6D5DD080DCB3483595D24CF42BE05723F60DEB689582645D1pDc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0C44F7C9EE6527664AEB160A064904F09800C006010AC3FF93820273594AC37428E54E91F32950288808F0B2N4UEM" TargetMode="External"/><Relationship Id="rId10" Type="http://schemas.openxmlformats.org/officeDocument/2006/relationships/hyperlink" Target="consultantplus://offline/ref=7EAAAB5409910D42052A5C6E6BB327F4A2AC260369A0810A166F2BA04F28F80533933308B507545E57932363CDb5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A9C61CEC3CD81CD79B689E8091946E9088F87D6D5DD080DCB3483595D24CF42BE05723F60DEB689582645D1pDc3I" TargetMode="External"/><Relationship Id="rId14" Type="http://schemas.openxmlformats.org/officeDocument/2006/relationships/hyperlink" Target="consultantplus://offline/ref=A60C44F7C9EE6527664AEB160A064904F09800C006010AC3FF93820273594AC37428E54E91F32950288808F0B4N4U6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79;&#1072;&#1095;&#1077;&#1085;&#1082;&#1086;\Desktop\&#1047;&#1040;&#1050;&#1054;&#1053;\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</Template>
  <TotalTime>2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ГОСУДАРСТВЕННОГО</vt:lpstr>
    </vt:vector>
  </TitlesOfParts>
  <Company>NhT</Company>
  <LinksUpToDate>false</LinksUpToDate>
  <CharactersWithSpaces>9676</CharactersWithSpaces>
  <SharedDoc>false</SharedDoc>
  <HLinks>
    <vt:vector size="54" baseType="variant">
      <vt:variant>
        <vt:i4>917596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consultantplus://offline/ref=A60C44F7C9EE6527664AEB160A064904F09800C006010AC3FF93820273594AC37428E54E91F32950288808F0B2N4UEM</vt:lpwstr>
      </vt:variant>
      <vt:variant>
        <vt:lpwstr/>
      </vt:variant>
      <vt:variant>
        <vt:i4>917513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consultantplus://offline/ref=A60C44F7C9EE6527664AEB160A064904F09800C006010AC3FF93820273594AC37428E54E91F32950288808F0B4N4U6M</vt:lpwstr>
      </vt:variant>
      <vt:variant>
        <vt:lpwstr/>
      </vt:variant>
      <vt:variant>
        <vt:i4>917597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consultantplus://offline/ref=A60C44F7C9EE6527664AEB160A064904F09800C006010AC3FF93820273594AC37428E54E91F32950288808F0B4N4UBM</vt:lpwstr>
      </vt:variant>
      <vt:variant>
        <vt:lpwstr/>
      </vt:variant>
      <vt:variant>
        <vt:i4>917519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consultantplus://offline/ref=A60C44F7C9EE6527664AEB160A064904F09800C006010AC3FF93820273594AC37428E54E91F32950288808F3B0N4U7M</vt:lpwstr>
      </vt:variant>
      <vt:variant>
        <vt:lpwstr/>
      </vt:variant>
      <vt:variant>
        <vt:i4>983049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consultantplus://offline/ref=947A9C61CEC3CD81CD79B689E8091946E9088F87D6D5DD080DCB3483595D24CF42BE05723F60DEB689582645D1pDc3I</vt:lpwstr>
      </vt:variant>
      <vt:variant>
        <vt:lpwstr/>
      </vt:variant>
      <vt:variant>
        <vt:i4>2752572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consultantplus://offline/ref=7EAAAB5409910D42052A5C6E6BB327F4A2AC260369A0810A166F2BA04F28F80533933308B507545E57932363CDb5K</vt:lpwstr>
      </vt:variant>
      <vt:variant>
        <vt:lpwstr/>
      </vt:variant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consultantplus://offline/ref=947A9C61CEC3CD81CD79B689E8091946E9088F87D6D5DD080DCB3483595D24CF42BE05723F60DEB689582645D1pDc3I</vt:lpwstr>
      </vt:variant>
      <vt:variant>
        <vt:lpwstr/>
      </vt:variant>
      <vt:variant>
        <vt:i4>5111893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consultantplus://offline/ref=EE974278B6A9C60B93E1F1F95FD55A6FB12AB2D3AC48E5E3229A06A3EED3626B5E8CD1FDF68E8520C54A6F0D83GAO4I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consultantplus://offline/ref=307A1C606D4DE9ACE257C945AB76DB5FBD3BADC81A7F8765F3A7DDF2B82616187CC9AA7CA238A452568BF19C1EZ9s4P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ГОСУДАРСТВЕННОГО</dc:title>
  <dc:subject/>
  <dc:creator>Казаченко</dc:creator>
  <cp:keywords/>
  <cp:lastModifiedBy>МСХП</cp:lastModifiedBy>
  <cp:revision>2</cp:revision>
  <cp:lastPrinted>2018-05-15T09:11:00Z</cp:lastPrinted>
  <dcterms:created xsi:type="dcterms:W3CDTF">2018-05-15T14:37:00Z</dcterms:created>
  <dcterms:modified xsi:type="dcterms:W3CDTF">2018-05-15T14:37:00Z</dcterms:modified>
</cp:coreProperties>
</file>