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C" w:rsidRDefault="00CB797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КОМИССИИ ТАМОЖЕННОГО СОЮЗА</w:t>
      </w:r>
    </w:p>
    <w:p w:rsidR="00CB797C" w:rsidRDefault="00CB797C">
      <w:pPr>
        <w:pStyle w:val="newncpi"/>
        <w:ind w:firstLine="0"/>
        <w:jc w:val="center"/>
      </w:pPr>
      <w:r>
        <w:rPr>
          <w:rStyle w:val="datepr"/>
        </w:rPr>
        <w:t>18 июня 2010 г.</w:t>
      </w:r>
      <w:r>
        <w:rPr>
          <w:rStyle w:val="number"/>
        </w:rPr>
        <w:t xml:space="preserve"> № 317</w:t>
      </w:r>
    </w:p>
    <w:p w:rsidR="00CB797C" w:rsidRDefault="00CB797C">
      <w:pPr>
        <w:pStyle w:val="1"/>
      </w:pPr>
      <w:r>
        <w:t>О применении ветеринарно-санитарных мер в Евразийском экономическом союзе</w:t>
      </w:r>
    </w:p>
    <w:p w:rsidR="00CB797C" w:rsidRDefault="00CB797C">
      <w:pPr>
        <w:pStyle w:val="preamble"/>
      </w:pPr>
      <w:r>
        <w:rPr>
          <w:i/>
          <w:iCs/>
        </w:rPr>
        <w:t>Вступило в силу 1 июля 2010 года</w:t>
      </w:r>
    </w:p>
    <w:p w:rsidR="00CB797C" w:rsidRDefault="00CB797C">
      <w:pPr>
        <w:pStyle w:val="changei"/>
      </w:pPr>
      <w:r>
        <w:t> </w:t>
      </w:r>
    </w:p>
    <w:p w:rsidR="00CB797C" w:rsidRDefault="00CB797C">
      <w:pPr>
        <w:pStyle w:val="changei"/>
      </w:pPr>
      <w:r>
        <w:t>Изменения и дополнения:</w:t>
      </w:r>
    </w:p>
    <w:p w:rsidR="00CB797C" w:rsidRDefault="00CB797C">
      <w:pPr>
        <w:pStyle w:val="changeadd"/>
      </w:pPr>
      <w:r>
        <w:t>Решение Комиссии Таможенного союза от 17 августа 2010 г. № 342 &lt;F91000082&gt;;</w:t>
      </w:r>
    </w:p>
    <w:p w:rsidR="00CB797C" w:rsidRDefault="00CB797C">
      <w:pPr>
        <w:pStyle w:val="changeadd"/>
      </w:pPr>
      <w:r>
        <w:t>Решение Комиссии Таможенного союза от 18 ноября 2010 г. № 455 &lt;F91000133&gt;;</w:t>
      </w:r>
    </w:p>
    <w:p w:rsidR="00CB797C" w:rsidRDefault="00CB797C">
      <w:pPr>
        <w:pStyle w:val="changeadd"/>
      </w:pPr>
      <w:r>
        <w:t>Решение Комиссии Таможенного союза от 2 марта 2011 г. № 569 &lt;F91100028&gt;;</w:t>
      </w:r>
    </w:p>
    <w:p w:rsidR="00CB797C" w:rsidRDefault="00CB797C">
      <w:pPr>
        <w:pStyle w:val="changeadd"/>
      </w:pPr>
      <w:r>
        <w:t>Решение Комиссии Таможенного союза от 2 марта 2011 г. № 570 &lt;F91100029&gt;;</w:t>
      </w:r>
    </w:p>
    <w:p w:rsidR="00CB797C" w:rsidRDefault="00CB797C">
      <w:pPr>
        <w:pStyle w:val="changeadd"/>
      </w:pPr>
      <w:r>
        <w:t>Решение Комиссии Таможенного союза от 7 апреля 2011 г. № 623 &lt;F91100052&gt;;</w:t>
      </w:r>
    </w:p>
    <w:p w:rsidR="00CB797C" w:rsidRDefault="00CB797C">
      <w:pPr>
        <w:pStyle w:val="changeadd"/>
      </w:pPr>
      <w:r>
        <w:t>Решение Комиссии Таможенного союза от 22 июня 2011 г. № 724 &lt;F91100114&gt;;</w:t>
      </w:r>
    </w:p>
    <w:p w:rsidR="00CB797C" w:rsidRDefault="00CB797C">
      <w:pPr>
        <w:pStyle w:val="changeadd"/>
      </w:pPr>
      <w:r>
        <w:t>Решение Комиссии Таможенного союза от 15 июля 2011 г. № 726 &lt;F91100115&gt;;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830 &lt;F91100189&gt; - внесены изменения и дополнения, вступившие в силу 21 ноября 2011 г., за исключением изменений и дополнений, которые вступят в силу с момента присоединения первой из Сторон к Всемирной торговой организации;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830 &lt;F91100189&gt; - внесены изменения и дополнения, вступившие в силу 21 ноября 2011 г. и с момента присоединения первой из Сторон к Всемирной торговой организации (22 августа 2012 г.);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831 &lt;F91100190&gt;;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834 &lt;F91100193&gt;;</w:t>
      </w:r>
    </w:p>
    <w:p w:rsidR="00CB797C" w:rsidRDefault="00CB797C">
      <w:pPr>
        <w:pStyle w:val="changeadd"/>
      </w:pPr>
      <w:r>
        <w:t>Решение Комиссии Таможенного союза от 9 декабря 2011 г. № 859 &lt;F91100221&gt;;</w:t>
      </w:r>
    </w:p>
    <w:p w:rsidR="00CB797C" w:rsidRDefault="00CB797C">
      <w:pPr>
        <w:pStyle w:val="changeadd"/>
      </w:pPr>
      <w:r>
        <w:t>Решение Комиссии Таможенного союза от 9 декабря 2011 г. № 893 &lt;F91100246&gt;;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24 августа 2012 г. № 73 &lt;F91200102&gt;;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12 октября 2012 г. № 85 &lt;F91200163&gt;;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4 декабря 2012 г. № 254 &lt;F91200302&gt;;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12 декабря 2012 г. № 274 &lt;F91200196&gt;;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25 декабря 2012 г. № 307 &lt;F91200236&gt;;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 июля 2013 г. № 43 &lt;F91300152&gt;;</w:t>
      </w:r>
    </w:p>
    <w:p w:rsidR="00CB797C" w:rsidRDefault="00CB797C">
      <w:pPr>
        <w:pStyle w:val="changeadd"/>
      </w:pPr>
      <w:r>
        <w:lastRenderedPageBreak/>
        <w:t>Решение Коллегии Евразийской экономической комиссии от 10 сентября 2013 г. № 192 &lt;F91300178&gt;;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29 октября 2013 г. № 244 &lt;F91300253&gt; - </w:t>
      </w:r>
      <w:r>
        <w:rPr>
          <w:b/>
          <w:bCs/>
        </w:rPr>
        <w:t>Решение вступает в силу 5 декабря 2013 г.;</w:t>
      </w:r>
    </w:p>
    <w:p w:rsidR="00CB797C" w:rsidRDefault="00CB797C">
      <w:pPr>
        <w:pStyle w:val="changeadd"/>
      </w:pPr>
      <w:r>
        <w:t xml:space="preserve">Решение Совета Евразийской экономической комиссии от 19 ноября 2013 г. № 84 &lt;F91300280&gt; - </w:t>
      </w:r>
      <w:r>
        <w:rPr>
          <w:b/>
          <w:bCs/>
        </w:rPr>
        <w:t>Решение вступает в силу 21 мая 2014 г.;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10 декабря 2013 г. № 294 &lt;F91300299&gt; - </w:t>
      </w:r>
      <w:r>
        <w:rPr>
          <w:b/>
          <w:bCs/>
        </w:rPr>
        <w:t>Решение вступает в силу 10 января 2014 г.;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11 февраля 2014 г. № 18 &lt;F91400019&gt; - </w:t>
      </w:r>
      <w:r>
        <w:rPr>
          <w:b/>
          <w:bCs/>
        </w:rPr>
        <w:t>Решение вступает в силу 13 марта 2014 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30 сентября 2014 г. № 178 &lt;F91400197&gt;;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9 октября 2014 г. № 95 &lt;F91400241&gt;;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12 ноября 2014 г. № 102 &lt;F91400257&gt;;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декабря 2014 г. № 244 &lt;F91400304&gt;;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14 июля 2015 г. № 83 &lt;F91500176&gt;;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23 ноября 2015 г. № 93 &lt;F91500387&gt;;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8 декабря 2015 г. № 160 &lt;F91500333&gt;;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 февраля 2016 г. № 14 &lt;F91600023&gt;;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7 июня 2016 г. № 63 &lt;F91600157&gt;;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апреля 2017 г. № 34 &lt;F91700094&gt; - внесены изменения и дополнения, вступившие в силу 26 мая 2017 г., за исключением изменений и дополнений, которые вступят в силу 22 июня 2017 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апреля 2017 г. № 34 &lt;F91700094&gt; - внесены изменения и дополнения, вступившие в силу 26 мая 2017 г. и 22 июня 2017 г.;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17 мая 2017 г. № 23 &lt;F91700131&gt;;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30 мая 2017 г. № 60 &lt;F91700141&gt;;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5 декабря 2017 г. № 165 &lt;F91700353&gt;;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18 декабря 2018 г. № 205 &lt;F91800422&gt;;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25 декабря 2018 г. № 216 &lt;F91800444&gt;;</w:t>
      </w:r>
    </w:p>
    <w:p w:rsidR="00CB797C" w:rsidRDefault="00CB797C">
      <w:pPr>
        <w:pStyle w:val="changeadd"/>
      </w:pPr>
      <w:r>
        <w:t xml:space="preserve">Решение Совета Евразийской экономической комиссии от 22 февраля 2019 г. № 11 &lt;F91900065&gt; - </w:t>
      </w:r>
      <w:r>
        <w:rPr>
          <w:b/>
          <w:bCs/>
        </w:rPr>
        <w:t>Решение вступает в силу 11 апреля 2019 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9 июля 2019 г. № 116 &lt;F91900258&gt;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preamble"/>
      </w:pPr>
      <w:r>
        <w:t>Комиссия таможенного союза РЕШИЛА:</w:t>
      </w:r>
    </w:p>
    <w:p w:rsidR="00CB797C" w:rsidRDefault="00CB797C">
      <w:pPr>
        <w:pStyle w:val="point"/>
      </w:pPr>
      <w:r>
        <w:t>1. Утвердить:</w:t>
      </w:r>
    </w:p>
    <w:p w:rsidR="00CB797C" w:rsidRDefault="00CB797C">
      <w:pPr>
        <w:pStyle w:val="newncpi"/>
      </w:pPr>
      <w:r>
        <w:lastRenderedPageBreak/>
        <w:t>– Единый перечень товаров, подлежащих ветеринарному контролю (надзору) (далее – Единый перечень, приложение № 1);</w:t>
      </w:r>
    </w:p>
    <w:p w:rsidR="00CB797C" w:rsidRDefault="00CB797C">
      <w:pPr>
        <w:pStyle w:val="newncpi"/>
      </w:pPr>
      <w:r>
        <w:t>– Положение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 (приложение № 2);</w:t>
      </w:r>
    </w:p>
    <w:p w:rsidR="00CB797C" w:rsidRDefault="00CB797C">
      <w:pPr>
        <w:pStyle w:val="newncpi"/>
      </w:pPr>
      <w:r>
        <w:t>– Единые ветеринарные (ветеринарно-санитарные) требования, предъявляемые к товарам, подлежащим ветеринарному контролю (надзору) (далее – Единые требования, приложение № 4);</w:t>
      </w:r>
    </w:p>
    <w:p w:rsidR="00CB797C" w:rsidRDefault="00CB797C">
      <w:pPr>
        <w:pStyle w:val="newncpi"/>
      </w:pPr>
      <w:r>
        <w:t>– Единые формы ветеринарных сертификатов (приложение № 5).</w:t>
      </w:r>
    </w:p>
    <w:p w:rsidR="00CB797C" w:rsidRDefault="00CB797C">
      <w:pPr>
        <w:pStyle w:val="point"/>
      </w:pPr>
      <w:r>
        <w:t>2. Правительствам Республики Беларусь, Республики Казахстан и Российской Федерации с 1 июля 2010 года применять Единый перечень и Единые требования.</w:t>
      </w:r>
    </w:p>
    <w:p w:rsidR="00CB797C" w:rsidRDefault="00CB797C">
      <w:pPr>
        <w:pStyle w:val="point"/>
      </w:pPr>
      <w:r>
        <w:t>3. Уполномоченным органам Республики Беларусь, Республики Казахстан и Российской Федерации с 1 июля 2010 года осуществлять:</w:t>
      </w:r>
    </w:p>
    <w:p w:rsidR="00CB797C" w:rsidRDefault="00CB797C">
      <w:pPr>
        <w:pStyle w:val="newncpi"/>
      </w:pPr>
      <w:r>
        <w:t>– ветеринарный контроль (надзор) на таможенной границе и таможенной территории Евразийского экономического союза в соответствии с приложением № 2 к настоящему Решению;</w:t>
      </w:r>
    </w:p>
    <w:p w:rsidR="00CB797C" w:rsidRDefault="00CB797C">
      <w:pPr>
        <w:pStyle w:val="newncpi"/>
      </w:pPr>
      <w:r>
        <w:t>– проводить совместные проверки объектов и отбора проб товаров (продукции), подлежащих ветеринарному контролю (надзору) на территориях государств – членов Евразийского экономического союза и третьих стран в соответствии с приложением № 3 к настоящему Решению.</w:t>
      </w:r>
    </w:p>
    <w:p w:rsidR="00CB797C" w:rsidRDefault="00CB797C">
      <w:pPr>
        <w:pStyle w:val="point"/>
      </w:pPr>
      <w:r>
        <w:t>4. Настоящее Решение вступает в силу с 1 июля 2010 года.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653"/>
        <w:gridCol w:w="2779"/>
      </w:tblGrid>
      <w:tr w:rsidR="00CB797C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rPr>
                <w:rStyle w:val="post"/>
              </w:rPr>
              <w:t>Члены Комиссии таможенного союза:</w:t>
            </w:r>
          </w:p>
        </w:tc>
      </w:tr>
      <w:tr w:rsidR="00CB797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Беларусь</w:t>
            </w:r>
          </w:p>
          <w:p w:rsidR="00CB797C" w:rsidRDefault="00CB797C">
            <w:pPr>
              <w:pStyle w:val="table10"/>
              <w:spacing w:before="100" w:beforeAutospacing="1"/>
              <w:ind w:firstLine="720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Казахстан</w:t>
            </w:r>
          </w:p>
          <w:p w:rsidR="00CB797C" w:rsidRDefault="00CB797C">
            <w:pPr>
              <w:pStyle w:val="table10"/>
              <w:spacing w:before="100" w:beforeAutospacing="1"/>
              <w:ind w:left="841"/>
            </w:pPr>
            <w:proofErr w:type="spellStart"/>
            <w:r>
              <w:rPr>
                <w:rStyle w:val="pers"/>
              </w:rPr>
              <w:t>У.Шукеев</w:t>
            </w:r>
            <w:proofErr w:type="spellEnd"/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Российской Федерации</w:t>
            </w:r>
          </w:p>
          <w:p w:rsidR="00CB797C" w:rsidRDefault="00CB797C">
            <w:pPr>
              <w:pStyle w:val="table10"/>
              <w:spacing w:before="100" w:beforeAutospacing="1"/>
              <w:ind w:firstLine="782"/>
            </w:pPr>
            <w:proofErr w:type="spellStart"/>
            <w:r>
              <w:rPr>
                <w:rStyle w:val="pers"/>
              </w:rPr>
              <w:t>И.Шувалов</w:t>
            </w:r>
            <w:proofErr w:type="spellEnd"/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C5191F">
            <w:pPr>
              <w:pStyle w:val="capu1"/>
              <w:spacing w:before="100" w:beforeAutospacing="1"/>
            </w:pPr>
            <w:r>
              <w:t>УТВЕРЖДЕНО</w:t>
            </w:r>
            <w:r w:rsidR="00C5191F">
              <w:br/>
            </w:r>
            <w:r>
              <w:t xml:space="preserve">Решение Комиссии </w:t>
            </w:r>
            <w:r>
              <w:br/>
              <w:t>таможенного союза</w:t>
            </w:r>
            <w:r w:rsidR="00C5191F">
              <w:br/>
            </w:r>
            <w:bookmarkStart w:id="0" w:name="_GoBack"/>
            <w:bookmarkEnd w:id="0"/>
            <w:r>
              <w:t>18.06.2010 № 317</w:t>
            </w:r>
          </w:p>
        </w:tc>
      </w:tr>
    </w:tbl>
    <w:p w:rsidR="00CB797C" w:rsidRDefault="00CB797C">
      <w:pPr>
        <w:pStyle w:val="titleu"/>
      </w:pPr>
      <w:r>
        <w:t>ЕДИНЫЙ ПЕРЕЧЕНЬ</w:t>
      </w:r>
      <w:r>
        <w:br/>
        <w:t>товаров, подлежащих ветеринарному контролю (надзору)</w:t>
      </w:r>
    </w:p>
    <w:tbl>
      <w:tblPr>
        <w:tblW w:w="5000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5890"/>
        <w:gridCol w:w="1714"/>
      </w:tblGrid>
      <w:tr w:rsidR="00CB797C">
        <w:trPr>
          <w:trHeight w:val="240"/>
        </w:trPr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Код в соответствии с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</w:p>
        </w:tc>
        <w:tc>
          <w:tcPr>
            <w:tcW w:w="3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Наименование товара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Примечание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0101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Лошади, ослы, мулы и лошаки живые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0102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Крупный рогатый скот живой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0103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Свиньи живые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0104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Овцы и козы живые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0105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Домашняя птица живая, то есть куры домашние (</w:t>
            </w:r>
            <w:proofErr w:type="spellStart"/>
            <w:r>
              <w:t>Gallus</w:t>
            </w:r>
            <w:proofErr w:type="spellEnd"/>
            <w:r>
              <w:t xml:space="preserve"> </w:t>
            </w:r>
            <w:proofErr w:type="spellStart"/>
            <w:r>
              <w:t>domesticus</w:t>
            </w:r>
            <w:proofErr w:type="spellEnd"/>
            <w:r>
              <w:t>), утки, гуси, индейки и цесарки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0106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Живые животные прочие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Мясо крупного рогатого скота, свежее или охлажденное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Мясо крупного рогатого скота, замороженное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Свинина свежая, охлажденная или замороженная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Баранина или козлятина свежая, охлажденная или замороженная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0205 00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Мясо лошадей, ослов, мулов или лошаков, свежее, охлажденное или замороженное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Мясо и пищевые субпродукты домашней птицы, указанной в товарной позиции 0105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>, свежие, охлажденные или замороженные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Прочие мясо и пищевые мясные субпродукты, свежие, охлажденные или замороженные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0209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соленые*, в рассоле*, сушеные* или копченые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0210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Мясо и пищевые мясные субпродукты, соленые*, в рассоле*, сушеные* или копченые*; пищевая мука из мяса или мясных субпродуктов*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0301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Живая рыба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0302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Рыба свежая или охлажденная, за исключением рыбного филе и прочего мяса рыбы товарной позиции 0304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0303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Рыба мороженая, за исключением рыбного филе и мяса рыбы товарной позиции 0304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0304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Филе рыбное и прочее мясо рыбы (включая фарш), свежие, охлажденные или мороженые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0305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Рыба сушеная, соленая или в рассоле; рыба копченая, не подвергнутая или подвергнутая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копчения; рыбная мука тонкого и грубого помола и гранулы из рыбы, пригодные для употребления в пищу*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0306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>Ракообразные, в панцире или без панциря, живые, свежие, охлажденные, мороженые, сушеные*, соленые* или в рассоле*; ракообразные копченые*, в панцире или без панциря, не подвергнутые или подвергнутые тепловой обработке до или в процессе копчения; ракообразные в панцире, сваренные на пару* или в кипящей воде*, охлажденные или неохлажденные, мороженые, сушеные*, соленые* или в рассоле*;</w:t>
            </w:r>
            <w:proofErr w:type="gramEnd"/>
            <w:r>
              <w:t xml:space="preserve"> мука тонкого и грубого помола и гранулы из </w:t>
            </w:r>
            <w:proofErr w:type="gramStart"/>
            <w:r>
              <w:t>ракообразных</w:t>
            </w:r>
            <w:proofErr w:type="gramEnd"/>
            <w:r>
              <w:t>, пригодные для употребления в пищу*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0307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Моллюски, в раковине или без раковины, живые, свежие, </w:t>
            </w:r>
            <w:r>
              <w:lastRenderedPageBreak/>
              <w:t xml:space="preserve">охлажденные, мороженые, сушеные*, соленые* или в рассоле*; моллюски копченые*, в раковине или без раковины, не подвергнутые или подвергнутые тепловой обработке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процессе копчения*; мука тонкого и грубого помола и гранулы из моллюсков, пригодные для употребления в пищу*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0308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>Водные беспозвоночные, кроме ракообразных и моллюсков, живые, свежие, охлажденные, мороженые, сушеные*, соленые* или в рассоле*; водные беспозвоночные, кроме ракообразных и моллюсков, копченые*, не подвергнутые или подвергнутые тепловой обработке до или в процессе копчения*; мука тонкого и грубого помола и гранулы из водных беспозвоночных, кроме ракообразных и моллюсков, пригодные для употребления в пищу*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Молоко и сливки, </w:t>
            </w:r>
            <w:proofErr w:type="spellStart"/>
            <w:r>
              <w:t>несгущенные</w:t>
            </w:r>
            <w:proofErr w:type="spellEnd"/>
            <w:r>
              <w:t xml:space="preserve"> и без добавления сахара или других подслащивающих веществ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Молоко и сливки, сгущенные или с добавлением сахара или других подслащивающих веществ*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t>несгущенные</w:t>
            </w:r>
            <w:proofErr w:type="spellEnd"/>
            <w:r>
      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Молочная сыворотка, сгущенная или </w:t>
            </w:r>
            <w:proofErr w:type="spellStart"/>
            <w:r>
              <w:t>несгущенная</w:t>
            </w:r>
            <w:proofErr w:type="spellEnd"/>
            <w: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Сливочное масло и прочие жиры и масла, изготовленные из молока; молочные пасты*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Сыры и творог*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Яйца птиц в скорлупе, свежие, консервированные* или вареные*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Яйца птиц без скорлупы и яичные желтки, свежие, сушеные, сваренные на пару* или в кипящей воде*, формованные*, замороженные или консервированные другим способом*, с добавлением или без добавления сахара или других подслащивающих веществ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0409 00 000 0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Мед натуральный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0410 00 000 0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0502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Щетина свиная или кабанья; барсучий или прочий волос, используемый для производства щеточных изделий; их отходы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0504 00 000 0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>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0505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 их частей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0506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>
              <w:t>дежелатинизированные</w:t>
            </w:r>
            <w:proofErr w:type="spellEnd"/>
            <w:r>
              <w:t>; порошок и отходы этих продуктов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0507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0510 00 000 0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 мороженые или обработанные иным способом для кратковременного хранения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0511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Продукты животного происхождения, в другом месте не поименованные или не включенные; павшие животные группы 01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или 03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>, не пригодные для употребления в пищу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0511 99 859 2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Конский волос и его отходы, в том числе в виде полотна на подложке или без нее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0511, из 9601, из 9705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Охотничьи трофеи, чучела, в том числе прошедшие </w:t>
            </w:r>
            <w:proofErr w:type="spellStart"/>
            <w:r>
              <w:t>таксидермическую</w:t>
            </w:r>
            <w:proofErr w:type="spellEnd"/>
            <w:r>
              <w:t xml:space="preserve"> обработку или законсервированные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0713 10 900 1, 0713 50 000 0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Овощи бобовые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При декларировании использования в ветеринарии, включая в корм животным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1001 19 000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Пшеница твердая (только фуражное зерно)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1001 99 000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Пшеница мягкая (только фуражное зерно)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1002 90 000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Рожь (только фуражное зерно)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1003 90 000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Ячмень (только фуражное зерно)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1004 90 000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Овес (только фуражное зерно)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1005 90 000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Кукуруза прочая (только фуражное зерно)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1201 90 000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Соевые бобы (только фуражное зерно)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1208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>Мука тонкого и грубого помола из семян или плодов масличных культур (кроме семян горчицы), используемые для кормления животных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1211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Растения и их части (включая семена и плоды), используемые в инсектицидных или аналогичных целях или в ветеринарии, свежие или сушеные, целые или измельченные, дробленые или молотые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При декларировании использования в ветеринарии, включая в корм животным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1212 99 950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Прочие (Перга, цветочная пыльца)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1213 00 000 0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>
              <w:t>неразмолотая</w:t>
            </w:r>
            <w:proofErr w:type="spellEnd"/>
            <w:r>
              <w:t>, прессованная или в виде гранул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1214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>
              <w:t>негранулированные</w:t>
            </w:r>
            <w:proofErr w:type="spellEnd"/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1301 90 000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Прочие (Прополис)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Жир свиной (включая лярд) и жир домашней птицы, кроме жира товарной позиции 0209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или 1503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Жир крупного рогатого скота, овец или коз, кроме жира товарной позиции 1503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1503 00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Лярд-стеарин, лярд-</w:t>
            </w:r>
            <w:proofErr w:type="spellStart"/>
            <w:r>
              <w:t>ойль</w:t>
            </w:r>
            <w:proofErr w:type="spellEnd"/>
            <w:r>
              <w:t xml:space="preserve">, </w:t>
            </w:r>
            <w:proofErr w:type="spellStart"/>
            <w:r>
              <w:t>олеостеарин</w:t>
            </w:r>
            <w:proofErr w:type="spellEnd"/>
            <w:r>
              <w:t>, олео-</w:t>
            </w:r>
            <w:proofErr w:type="spellStart"/>
            <w:r>
              <w:t>ойль</w:t>
            </w:r>
            <w:proofErr w:type="spellEnd"/>
            <w:r>
              <w:t xml:space="preserve"> и животное масло, </w:t>
            </w:r>
            <w:proofErr w:type="spellStart"/>
            <w:r>
              <w:t>неэмульгированные</w:t>
            </w:r>
            <w:proofErr w:type="spellEnd"/>
            <w:r>
              <w:t xml:space="preserve"> или </w:t>
            </w:r>
            <w:proofErr w:type="gramStart"/>
            <w:r>
              <w:t>несмешанные</w:t>
            </w:r>
            <w:proofErr w:type="gramEnd"/>
            <w:r>
              <w:t xml:space="preserve"> или не приготовленные каким-либо иным способом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1504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Жиры, масла и их фракции, из рыбы или морских млекопитающих, нерафинированные или рафинированные, но без изменения химического состава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1505 00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Жиропот и жировые вещества, получаемые из него (включая ланолин)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1506 00 000 0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Прочие жиры и масла животные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1516 10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Жиры и масла животные и их фракции, полностью или частично гидрогенизированные, </w:t>
            </w:r>
            <w:proofErr w:type="spellStart"/>
            <w:r>
              <w:t>переэтерифицированные</w:t>
            </w:r>
            <w:proofErr w:type="spellEnd"/>
            <w:r>
              <w:t xml:space="preserve">, </w:t>
            </w:r>
            <w:proofErr w:type="spellStart"/>
            <w:r>
              <w:t>реэтерифицированные</w:t>
            </w:r>
            <w:proofErr w:type="spellEnd"/>
            <w:r>
              <w:t xml:space="preserve"> или </w:t>
            </w:r>
            <w:proofErr w:type="spellStart"/>
            <w:r>
              <w:t>элаидинизированные</w:t>
            </w:r>
            <w:proofErr w:type="spellEnd"/>
            <w:r>
              <w:t>, нерафинированные или рафинированные, но не подвергнутые дальнейшей обработке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1516 20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Жиры и масла растительные и их фракции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При декларировании использования в </w:t>
            </w:r>
            <w:r>
              <w:lastRenderedPageBreak/>
              <w:t>ветеринарии, включая в корм животным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1518 00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Животные или растительные жиры и масла и их фракции, вареные, окисленные, </w:t>
            </w:r>
            <w:proofErr w:type="spellStart"/>
            <w:r>
              <w:t>дегидратированные</w:t>
            </w:r>
            <w:proofErr w:type="spellEnd"/>
            <w:r>
              <w:t xml:space="preserve"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;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>, в другом месте не поименованные или не включенные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При декларировании использования в ветеринарии, включая в корм животным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1518 00, из 2102, из 2309, из 2936, из 3002, из 3203 00, из 3302, из 3504 00, из 3507, из 3808, из 3824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Кормовые добавки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1521 90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Воск пчелиный и воски других насекомых и спермацет, окрашенные или неокрашенные, рафинированные или нерафинированные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1601 00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1602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Готовые или консервированные продукты из мяса, мясных субпродуктов или крови прочие*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1603 00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Экстракты и соки из мяса, рыбы или ракообразных, моллюсков или прочих водных беспозвоночных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1604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>Готовая или консервированная рыба; икра осетровых и ее заменители, изготовленные из икринок рыбы*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1605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Готовые или консервированные ракообразные, моллюски и прочие водные беспозвоночные*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1901 90 910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Готовые пищевые продукты из сырья товарных позиций 0401–0404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  <w:r>
              <w:t xml:space="preserve">, не содержащие молочного жира или содержащие менее 1,5 </w:t>
            </w:r>
            <w:proofErr w:type="spellStart"/>
            <w:r>
              <w:t>мас</w:t>
            </w:r>
            <w:proofErr w:type="spellEnd"/>
            <w:r>
              <w:t xml:space="preserve">. % молочного жира, кроме пищевых продуктов в виде порошка из сырья товарных позиций 0401–0404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  <w:r>
              <w:t>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1901 90 990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Готовые пищевые продукты из сырья товарных позиций 0401–0404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  <w:r>
              <w:t xml:space="preserve">, содержащие 1,5 </w:t>
            </w:r>
            <w:proofErr w:type="spellStart"/>
            <w:r>
              <w:t>мас</w:t>
            </w:r>
            <w:proofErr w:type="spellEnd"/>
            <w:r>
              <w:t xml:space="preserve">. % молочного жира или более, кроме пищевых продуктов в виде порошка из сырья товарных позиций 0401–0404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  <w:r>
              <w:t xml:space="preserve">, в других позициях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  <w:r>
              <w:t xml:space="preserve"> не поименованные или не включенные в них*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1902 20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или любой комбинации этих продуктов*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1904 20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 xml:space="preserve">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или любой комбинации этих продуктов*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группы 20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Продукты переработки овощей, фруктов, орехов или прочих частей растений и их смеси, с содержанием колбасы*, мяса*, мясных субпродуктов*, крови*, рыбы* или ракообразных*, моллюсков* или прочих водных беспозвоночных*, или продуктов группы 04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*, или любой комбинации этих продуктов*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2102 20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Дрожжи неактивные; прочие мертвые одноклеточные микроорганизмы, используемые для кормления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из 2104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Супы и </w:t>
            </w:r>
            <w:proofErr w:type="gramStart"/>
            <w:r>
              <w:t>бульоны</w:t>
            </w:r>
            <w:proofErr w:type="gramEnd"/>
            <w:r>
              <w:t xml:space="preserve"> готовые и заготовки для их приготовления (кроме овощных); гомогенизированные составные готовые пищевые продукты, содержащие колбасу*, мясо*, мясные субпродукты*, кровь*, рыбу*, ракообразных*, моллюсков* или прочих беспозвоночных* или продукты группы 04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*, или любую комбинацию этих продуктов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2105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Мороженое, кроме мороженого, выработанного на плодово-ягодной основе, фруктового и пищевого льда*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2106 90 920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Готовые пищевые продукты, содержащие растительные жиры или масла, с содержанием менее 1,5 </w:t>
            </w:r>
            <w:proofErr w:type="spellStart"/>
            <w:r>
              <w:t>мас</w:t>
            </w:r>
            <w:proofErr w:type="spellEnd"/>
            <w:r>
              <w:t>. % молочного жира*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2106 90 980 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Пригодные для употребления в пищу смеси или готовые продукты из животных или растительных жиров либо масел или их фракций, содержащие более 15 </w:t>
            </w:r>
            <w:proofErr w:type="spellStart"/>
            <w:r>
              <w:t>мас</w:t>
            </w:r>
            <w:proofErr w:type="spellEnd"/>
            <w:r>
              <w:t>. % молочного жира*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2106 90 980 5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Сырное фондю*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2106 90 980 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Готовые пищевые продукты с содержанием компонентов молока, в других позициях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  <w:r>
              <w:t xml:space="preserve"> не поименованные или не включенные в них*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2301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 пригодные для употребления в пищу; шкварки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2302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Отруби, высевки, </w:t>
            </w:r>
            <w:proofErr w:type="spellStart"/>
            <w:r>
              <w:t>месятки</w:t>
            </w:r>
            <w:proofErr w:type="spellEnd"/>
            <w: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2303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Остатки от производства крахмала и аналогичные остатки, свекловичный жом, </w:t>
            </w:r>
            <w:proofErr w:type="spellStart"/>
            <w:r>
              <w:t>багасса</w:t>
            </w:r>
            <w:proofErr w:type="spellEnd"/>
            <w: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2304 00 000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2306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Жмыхи и другие твердые отходы, получаемые при извлечении растительных жиров или масел, кроме отходов соевых или арахисовых, немолотые или молотые,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2308 00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>
              <w:t>негранулированные</w:t>
            </w:r>
            <w:proofErr w:type="spellEnd"/>
            <w:r>
              <w:t xml:space="preserve"> или гранулированные, используемые для кормления животных, в другом месте не поименованные или не включенные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2309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Продукты, используемые для кормления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группы 29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Органические химические соединения (для применения в ветеринарии)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группы 30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Фармацевтическая продукция (для применения в ветеринарии)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3101 00 000 0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3501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Казеин, </w:t>
            </w:r>
            <w:proofErr w:type="spellStart"/>
            <w:r>
              <w:t>казеинаты</w:t>
            </w:r>
            <w:proofErr w:type="spellEnd"/>
            <w:r>
              <w:t xml:space="preserve"> и прочие производные казеина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3502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Альбумины (белки) (включая концентраты двух или более сывороточных белков, содержащих более 80 </w:t>
            </w:r>
            <w:proofErr w:type="spellStart"/>
            <w:r>
              <w:t>мас</w:t>
            </w:r>
            <w:proofErr w:type="spellEnd"/>
            <w:r>
              <w:t xml:space="preserve">. % сывороточных белков в пересчете на сухое вещество), </w:t>
            </w:r>
            <w:proofErr w:type="spellStart"/>
            <w:r>
              <w:t>альбуминаты</w:t>
            </w:r>
            <w:proofErr w:type="spellEnd"/>
            <w:r>
              <w:t xml:space="preserve"> и прочие производные альбумина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3503 00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 xml:space="preserve"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3504 00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Пептоны и их производные; белковые вещества прочие и их производные, в другом месте не поименованные или не </w:t>
            </w:r>
            <w:r>
              <w:lastRenderedPageBreak/>
              <w:t xml:space="preserve">включенные; порошок из кожи или голья, хромированный или </w:t>
            </w:r>
            <w:proofErr w:type="spellStart"/>
            <w:r>
              <w:t>нехромированный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из 3507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Ферменты (энзимы); ферментные препараты, в другом месте не поименованные или не включенные (для применения в ветеринарии)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3808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Инсектициды, родентициды,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(для применения в ветеринарии)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3821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Среды </w:t>
            </w:r>
            <w:proofErr w:type="spellStart"/>
            <w:r>
              <w:t>культуральные</w:t>
            </w:r>
            <w:proofErr w:type="spellEnd"/>
            <w:r>
              <w:t xml:space="preserve"> для выращивания микроорганизмов, для применения в ветеринарии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3822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или 3006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(для применения в ветеринарии); сертифицированные эталонные материалы (для применения в ветеринарии)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4101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>
              <w:t>недвоеные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4102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>
              <w:t>недвоеные</w:t>
            </w:r>
            <w:proofErr w:type="spellEnd"/>
            <w:r>
              <w:t xml:space="preserve">, </w:t>
            </w:r>
            <w:proofErr w:type="gramStart"/>
            <w:r>
              <w:t>кроме</w:t>
            </w:r>
            <w:proofErr w:type="gramEnd"/>
            <w:r>
              <w:t xml:space="preserve"> исключенных примечанием 1в к группе 41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4103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Прочие необработанные шкуры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>
              <w:t>недвоеные</w:t>
            </w:r>
            <w:proofErr w:type="spellEnd"/>
            <w:r>
              <w:t xml:space="preserve">, кроме </w:t>
            </w:r>
            <w:proofErr w:type="gramStart"/>
            <w:r>
              <w:t>исключенных</w:t>
            </w:r>
            <w:proofErr w:type="gramEnd"/>
            <w:r>
              <w:t xml:space="preserve"> примечанием 1б или 1в к группе 41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4206 00 000 0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Изделия из кишок (кроме волокна из фиброина шелкопряда), </w:t>
            </w:r>
            <w:proofErr w:type="spellStart"/>
            <w:r>
              <w:t>синюги</w:t>
            </w:r>
            <w:proofErr w:type="spellEnd"/>
            <w:r>
              <w:t xml:space="preserve">, пузырей или сухожилий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4301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, 4102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  <w:r>
              <w:t xml:space="preserve"> или 4103 </w:t>
            </w:r>
            <w:proofErr w:type="spellStart"/>
            <w:r>
              <w:t>ТН</w:t>
            </w:r>
            <w:proofErr w:type="spellEnd"/>
            <w:r>
              <w:t> </w:t>
            </w:r>
            <w:proofErr w:type="spellStart"/>
            <w:r>
              <w:t>ВЭД</w:t>
            </w:r>
            <w:proofErr w:type="spellEnd"/>
            <w:r>
              <w:t> </w:t>
            </w:r>
            <w:proofErr w:type="spellStart"/>
            <w:r>
              <w:t>ЕАЭС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5101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Шерсть, не подвергнутая </w:t>
            </w:r>
            <w:proofErr w:type="spellStart"/>
            <w:r>
              <w:t>кард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гребнечесанию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5102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 xml:space="preserve">Волос животных, тонкий или грубый, не подвергнутый </w:t>
            </w:r>
            <w:proofErr w:type="spellStart"/>
            <w:r>
              <w:t>кард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гребнечесанию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5103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Отходы шерсти или тонкого или грубого волоса животных, включая прядильные отходы, но исключая расщипанное сырье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9508 10 000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Животные в составе цирков передвижных и зверинцев передвижных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из 9705 00 000 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Коллекции и предметы коллекционирования по зоологии, анатомии и палеонтологии животных (кроме экспонатов музейного хранения)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proofErr w:type="gramStart"/>
            <w:r>
              <w:t>из 3923,</w:t>
            </w:r>
            <w:r>
              <w:br/>
              <w:t>из 3926,</w:t>
            </w:r>
            <w:r>
              <w:br/>
              <w:t>из 4415,</w:t>
            </w:r>
            <w:r>
              <w:br/>
              <w:t>из 4416 00 000 0,</w:t>
            </w:r>
            <w:r>
              <w:br/>
              <w:t>из 4421,</w:t>
            </w:r>
            <w:r>
              <w:br/>
              <w:t>из 7020 00,</w:t>
            </w:r>
            <w:r>
              <w:br/>
              <w:t>из 7309 00,</w:t>
            </w:r>
            <w:r>
              <w:br/>
              <w:t>из 7310,</w:t>
            </w:r>
            <w:r>
              <w:br/>
              <w:t>из 7326,</w:t>
            </w:r>
            <w:r>
              <w:br/>
              <w:t>из 7616,</w:t>
            </w:r>
            <w:r>
              <w:br/>
              <w:t>из 8436 21 000 0,</w:t>
            </w:r>
            <w:r>
              <w:br/>
              <w:t>из 8436 29 000 0,</w:t>
            </w:r>
            <w:r>
              <w:br/>
            </w:r>
            <w:r>
              <w:lastRenderedPageBreak/>
              <w:t xml:space="preserve">из 8436 80 900 0, </w:t>
            </w:r>
            <w:r>
              <w:br/>
              <w:t>из 8606 91 800 0,</w:t>
            </w:r>
            <w:r>
              <w:br/>
              <w:t>из 8609 00,</w:t>
            </w:r>
            <w:r>
              <w:br/>
              <w:t>из 8716 39 800</w:t>
            </w:r>
            <w:proofErr w:type="gramEnd"/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lastRenderedPageBreak/>
              <w:t>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животного происхождения, бывшие в употреблении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</w:tbl>
    <w:p w:rsidR="00CB797C" w:rsidRDefault="00CB797C">
      <w:pPr>
        <w:pStyle w:val="newncpi"/>
      </w:pPr>
      <w:r>
        <w:lastRenderedPageBreak/>
        <w:t> </w:t>
      </w:r>
    </w:p>
    <w:p w:rsidR="00CB797C" w:rsidRDefault="00CB797C">
      <w:pPr>
        <w:pStyle w:val="comment"/>
      </w:pPr>
      <w:r>
        <w:t xml:space="preserve">Примечание. Для целей использования настоящего Перечня необходимо руководствоваться как кодом </w:t>
      </w:r>
      <w:proofErr w:type="spellStart"/>
      <w:r>
        <w:t>ТН</w:t>
      </w:r>
      <w:proofErr w:type="spellEnd"/>
      <w:r>
        <w:t> </w:t>
      </w:r>
      <w:proofErr w:type="spellStart"/>
      <w:r>
        <w:t>ВЭД</w:t>
      </w:r>
      <w:proofErr w:type="spellEnd"/>
      <w:r>
        <w:t> </w:t>
      </w:r>
      <w:proofErr w:type="spellStart"/>
      <w:r>
        <w:t>ЕАЭС</w:t>
      </w:r>
      <w:proofErr w:type="spellEnd"/>
      <w:r>
        <w:t>, так и наименованием товара.</w:t>
      </w:r>
    </w:p>
    <w:p w:rsidR="00CB797C" w:rsidRDefault="00CB797C">
      <w:pPr>
        <w:pStyle w:val="snoskiline"/>
      </w:pPr>
      <w:r>
        <w:t>______________________________</w:t>
      </w:r>
    </w:p>
    <w:p w:rsidR="00CB797C" w:rsidRDefault="00CB797C" w:rsidP="00CB797C">
      <w:pPr>
        <w:pStyle w:val="snoski"/>
        <w:spacing w:after="240"/>
      </w:pPr>
      <w:r>
        <w:t>* В части эпизоотического благополучия.</w:t>
      </w:r>
    </w:p>
    <w:p w:rsidR="00B14A9B" w:rsidRDefault="00C5191F"/>
    <w:sectPr w:rsidR="00B14A9B" w:rsidSect="00C5191F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7C"/>
    <w:rsid w:val="00156FE9"/>
    <w:rsid w:val="004D31B2"/>
    <w:rsid w:val="00C5191F"/>
    <w:rsid w:val="00C93E43"/>
    <w:rsid w:val="00C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9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797C"/>
    <w:rPr>
      <w:color w:val="154C94"/>
      <w:u w:val="single"/>
    </w:rPr>
  </w:style>
  <w:style w:type="paragraph" w:customStyle="1" w:styleId="part">
    <w:name w:val="par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797C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797C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CB797C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797C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797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797C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CB797C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797C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797C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B797C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797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797C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797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797C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797C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797C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797C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797C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797C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797C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797C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CB797C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CB797C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797C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797C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797C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797C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797C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797C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9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79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79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9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79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797C"/>
    <w:rPr>
      <w:rFonts w:ascii="Symbol" w:hAnsi="Symbol" w:hint="default"/>
    </w:rPr>
  </w:style>
  <w:style w:type="character" w:customStyle="1" w:styleId="onewind3">
    <w:name w:val="onewind3"/>
    <w:basedOn w:val="a0"/>
    <w:rsid w:val="00CB797C"/>
    <w:rPr>
      <w:rFonts w:ascii="Wingdings 3" w:hAnsi="Wingdings 3" w:hint="default"/>
    </w:rPr>
  </w:style>
  <w:style w:type="character" w:customStyle="1" w:styleId="onewind2">
    <w:name w:val="onewind2"/>
    <w:basedOn w:val="a0"/>
    <w:rsid w:val="00CB797C"/>
    <w:rPr>
      <w:rFonts w:ascii="Wingdings 2" w:hAnsi="Wingdings 2" w:hint="default"/>
    </w:rPr>
  </w:style>
  <w:style w:type="character" w:customStyle="1" w:styleId="onewind">
    <w:name w:val="onewind"/>
    <w:basedOn w:val="a0"/>
    <w:rsid w:val="00CB797C"/>
    <w:rPr>
      <w:rFonts w:ascii="Wingdings" w:hAnsi="Wingdings" w:hint="default"/>
    </w:rPr>
  </w:style>
  <w:style w:type="character" w:customStyle="1" w:styleId="rednoun">
    <w:name w:val="rednoun"/>
    <w:basedOn w:val="a0"/>
    <w:rsid w:val="00CB797C"/>
  </w:style>
  <w:style w:type="character" w:customStyle="1" w:styleId="post">
    <w:name w:val="post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79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79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797C"/>
    <w:rPr>
      <w:rFonts w:ascii="Arial" w:hAnsi="Arial" w:cs="Arial" w:hint="default"/>
    </w:rPr>
  </w:style>
  <w:style w:type="table" w:customStyle="1" w:styleId="tablencpi">
    <w:name w:val="tablencpi"/>
    <w:basedOn w:val="a1"/>
    <w:rsid w:val="00CB797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fontstyle23">
    <w:name w:val="fontstyle23"/>
    <w:basedOn w:val="a0"/>
    <w:rsid w:val="00CB797C"/>
  </w:style>
  <w:style w:type="character" w:customStyle="1" w:styleId="fontstyle13">
    <w:name w:val="fontstyle13"/>
    <w:basedOn w:val="a0"/>
    <w:rsid w:val="00CB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9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797C"/>
    <w:rPr>
      <w:color w:val="154C94"/>
      <w:u w:val="single"/>
    </w:rPr>
  </w:style>
  <w:style w:type="paragraph" w:customStyle="1" w:styleId="part">
    <w:name w:val="par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797C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797C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CB797C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797C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797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797C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CB797C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797C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797C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B797C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797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797C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797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797C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797C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797C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797C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797C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797C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797C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797C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CB797C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CB797C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797C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797C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797C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797C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797C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797C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9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79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79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9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79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797C"/>
    <w:rPr>
      <w:rFonts w:ascii="Symbol" w:hAnsi="Symbol" w:hint="default"/>
    </w:rPr>
  </w:style>
  <w:style w:type="character" w:customStyle="1" w:styleId="onewind3">
    <w:name w:val="onewind3"/>
    <w:basedOn w:val="a0"/>
    <w:rsid w:val="00CB797C"/>
    <w:rPr>
      <w:rFonts w:ascii="Wingdings 3" w:hAnsi="Wingdings 3" w:hint="default"/>
    </w:rPr>
  </w:style>
  <w:style w:type="character" w:customStyle="1" w:styleId="onewind2">
    <w:name w:val="onewind2"/>
    <w:basedOn w:val="a0"/>
    <w:rsid w:val="00CB797C"/>
    <w:rPr>
      <w:rFonts w:ascii="Wingdings 2" w:hAnsi="Wingdings 2" w:hint="default"/>
    </w:rPr>
  </w:style>
  <w:style w:type="character" w:customStyle="1" w:styleId="onewind">
    <w:name w:val="onewind"/>
    <w:basedOn w:val="a0"/>
    <w:rsid w:val="00CB797C"/>
    <w:rPr>
      <w:rFonts w:ascii="Wingdings" w:hAnsi="Wingdings" w:hint="default"/>
    </w:rPr>
  </w:style>
  <w:style w:type="character" w:customStyle="1" w:styleId="rednoun">
    <w:name w:val="rednoun"/>
    <w:basedOn w:val="a0"/>
    <w:rsid w:val="00CB797C"/>
  </w:style>
  <w:style w:type="character" w:customStyle="1" w:styleId="post">
    <w:name w:val="post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79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79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797C"/>
    <w:rPr>
      <w:rFonts w:ascii="Arial" w:hAnsi="Arial" w:cs="Arial" w:hint="default"/>
    </w:rPr>
  </w:style>
  <w:style w:type="table" w:customStyle="1" w:styleId="tablencpi">
    <w:name w:val="tablencpi"/>
    <w:basedOn w:val="a1"/>
    <w:rsid w:val="00CB797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fontstyle23">
    <w:name w:val="fontstyle23"/>
    <w:basedOn w:val="a0"/>
    <w:rsid w:val="00CB797C"/>
  </w:style>
  <w:style w:type="character" w:customStyle="1" w:styleId="fontstyle13">
    <w:name w:val="fontstyle13"/>
    <w:basedOn w:val="a0"/>
    <w:rsid w:val="00CB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2019-08-21T08:56:00Z</dcterms:created>
  <dcterms:modified xsi:type="dcterms:W3CDTF">2019-08-21T09:11:00Z</dcterms:modified>
</cp:coreProperties>
</file>